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/>
        <w:ind/>
        <w:jc w:val="right"/>
        <w:rPr/>
      </w:pPr>
      <w:r>
        <w:rPr>
          <w:rFonts w:ascii="Times New Roman" w:hAnsi="Times New Roman"/>
          <w:bCs/>
          <w:sz w:val="24"/>
          <w:szCs w:val="24"/>
        </w:rPr>
        <w:t xml:space="preserve">Załącznik nr 4 </w:t>
      </w:r>
      <w:r/>
    </w:p>
    <w:p>
      <w:pPr>
        <w:pBdr/>
        <w:spacing w:after="0"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 w:line="276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WZÓR PRZYKŁADOWEJ UMOWY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 w:line="276" w:lineRule="auto"/>
        <w:ind w:firstLine="708"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....... grudnia 2024 roku w Małkini Górnej pomiędzy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false"/>
        <w:pBdr/>
        <w:spacing w:after="0" w:line="276" w:lineRule="auto"/>
        <w:ind/>
        <w:jc w:val="both"/>
        <w:rPr/>
      </w:pPr>
      <w:r>
        <w:rPr>
          <w:rFonts w:ascii="Times New Roman" w:hAnsi="Times New Roman" w:eastAsia="Arial Unicode MS"/>
          <w:b/>
          <w:bCs/>
          <w:sz w:val="24"/>
          <w:szCs w:val="24"/>
          <w:lang w:eastAsia="hi-IN" w:bidi="hi-IN"/>
        </w:rPr>
        <w:t xml:space="preserve">Gminą Małkinia Górna</w:t>
      </w:r>
      <w:r>
        <w:rPr>
          <w:rFonts w:ascii="Times New Roman" w:hAnsi="Times New Roman" w:eastAsia="Arial Unicode MS"/>
          <w:sz w:val="24"/>
          <w:szCs w:val="24"/>
          <w:lang w:eastAsia="hi-IN" w:bidi="hi-IN"/>
        </w:rPr>
        <w:t xml:space="preserve">, z siedzibą ul. Przedszkolna 1, 07-320 Małkinia Górna,</w:t>
      </w:r>
      <w:r/>
    </w:p>
    <w:p>
      <w:pPr>
        <w:widowControl w:val="false"/>
        <w:pBdr/>
        <w:spacing w:after="0" w:line="276" w:lineRule="auto"/>
        <w:ind/>
        <w:jc w:val="both"/>
        <w:rPr>
          <w:rFonts w:ascii="Times New Roman" w:hAnsi="Times New Roman" w:eastAsia="Arial Unicode MS"/>
          <w:sz w:val="24"/>
          <w:szCs w:val="24"/>
          <w:lang w:eastAsia="hi-IN" w:bidi="hi-IN"/>
        </w:rPr>
      </w:pPr>
      <w:r>
        <w:rPr>
          <w:rFonts w:ascii="Times New Roman" w:hAnsi="Times New Roman" w:eastAsia="Arial Unicode MS"/>
          <w:sz w:val="24"/>
          <w:szCs w:val="24"/>
          <w:lang w:eastAsia="hi-IN" w:bidi="hi-IN"/>
        </w:rPr>
        <w:t xml:space="preserve">NIP: 759-16-24-930, REGON: 550667920, </w:t>
      </w:r>
      <w:r>
        <w:rPr>
          <w:rFonts w:ascii="Times New Roman" w:hAnsi="Times New Roman" w:eastAsia="Arial Unicode MS"/>
          <w:sz w:val="24"/>
          <w:szCs w:val="24"/>
          <w:lang w:eastAsia="hi-IN" w:bidi="hi-IN"/>
        </w:rPr>
      </w:r>
      <w:r>
        <w:rPr>
          <w:rFonts w:ascii="Times New Roman" w:hAnsi="Times New Roman" w:eastAsia="Arial Unicode MS"/>
          <w:sz w:val="24"/>
          <w:szCs w:val="24"/>
          <w:lang w:eastAsia="hi-IN" w:bidi="hi-IN"/>
        </w:rPr>
      </w:r>
    </w:p>
    <w:p>
      <w:pPr>
        <w:widowControl w:val="false"/>
        <w:pBdr/>
        <w:spacing w:after="0" w:line="276" w:lineRule="auto"/>
        <w:ind/>
        <w:jc w:val="both"/>
        <w:rPr/>
      </w:pPr>
      <w:r>
        <w:rPr>
          <w:rFonts w:ascii="Times New Roman" w:hAnsi="Times New Roman" w:eastAsia="Arial Unicode MS"/>
          <w:sz w:val="24"/>
          <w:szCs w:val="24"/>
          <w:lang w:eastAsia="hi-IN" w:bidi="hi-IN"/>
        </w:rPr>
        <w:t xml:space="preserve">reprezentowaną przez</w:t>
      </w:r>
      <w:r/>
    </w:p>
    <w:p>
      <w:pPr>
        <w:widowControl w:val="false"/>
        <w:pBdr/>
        <w:spacing w:after="0" w:line="276" w:lineRule="auto"/>
        <w:ind/>
        <w:rPr/>
      </w:pPr>
      <w:r>
        <w:rPr>
          <w:rFonts w:ascii="Times New Roman" w:hAnsi="Times New Roman" w:eastAsia="Arial Unicode MS"/>
          <w:b/>
          <w:bCs/>
          <w:sz w:val="24"/>
          <w:szCs w:val="24"/>
          <w:lang w:eastAsia="hi-IN" w:bidi="hi-IN"/>
        </w:rPr>
        <w:t xml:space="preserve">Pana Dariusza Stanisława Rafalika – Wójta Gminy Małkinia Górna</w:t>
      </w:r>
      <w:r>
        <w:rPr>
          <w:rFonts w:ascii="Times New Roman" w:hAnsi="Times New Roman" w:eastAsia="Arial Unicode MS"/>
          <w:sz w:val="24"/>
          <w:szCs w:val="24"/>
          <w:lang w:eastAsia="hi-IN" w:bidi="hi-IN"/>
        </w:rPr>
        <w:t xml:space="preserve">, </w:t>
      </w:r>
      <w:r/>
    </w:p>
    <w:p>
      <w:pPr>
        <w:widowControl w:val="false"/>
        <w:pBdr/>
        <w:spacing w:after="0" w:line="276" w:lineRule="auto"/>
        <w:ind/>
        <w:rPr>
          <w:rFonts w:ascii="Times New Roman" w:hAnsi="Times New Roman" w:eastAsia="Arial Unicode MS"/>
          <w:sz w:val="24"/>
          <w:szCs w:val="24"/>
          <w:lang w:eastAsia="hi-IN" w:bidi="hi-IN"/>
        </w:rPr>
      </w:pPr>
      <w:r>
        <w:rPr>
          <w:rFonts w:ascii="Times New Roman" w:hAnsi="Times New Roman" w:eastAsia="Arial Unicode MS"/>
          <w:sz w:val="24"/>
          <w:szCs w:val="24"/>
          <w:lang w:eastAsia="hi-IN" w:bidi="hi-IN"/>
        </w:rPr>
        <w:t xml:space="preserve">przy kontrasygnacie</w:t>
      </w:r>
      <w:r>
        <w:rPr>
          <w:rFonts w:ascii="Times New Roman" w:hAnsi="Times New Roman" w:eastAsia="Arial Unicode MS"/>
          <w:sz w:val="24"/>
          <w:szCs w:val="24"/>
          <w:lang w:eastAsia="hi-IN" w:bidi="hi-IN"/>
        </w:rPr>
      </w:r>
      <w:r>
        <w:rPr>
          <w:rFonts w:ascii="Times New Roman" w:hAnsi="Times New Roman" w:eastAsia="Arial Unicode MS"/>
          <w:sz w:val="24"/>
          <w:szCs w:val="24"/>
          <w:lang w:eastAsia="hi-IN" w:bidi="hi-IN"/>
        </w:rPr>
      </w:r>
    </w:p>
    <w:p>
      <w:pPr>
        <w:widowControl w:val="false"/>
        <w:pBdr/>
        <w:spacing w:after="0" w:line="276" w:lineRule="auto"/>
        <w:ind/>
        <w:rPr/>
      </w:pPr>
      <w:r>
        <w:rPr>
          <w:rFonts w:ascii="Times New Roman" w:hAnsi="Times New Roman" w:eastAsia="Arial Unicode MS"/>
          <w:b/>
          <w:bCs/>
          <w:sz w:val="24"/>
          <w:szCs w:val="24"/>
          <w:lang w:eastAsia="hi-IN" w:bidi="hi-IN"/>
        </w:rPr>
        <w:t xml:space="preserve">Skarbnika Gminy Małkinia Górna – Pani Agnieszki Jastrzębskiej</w:t>
      </w:r>
      <w:r/>
    </w:p>
    <w:p>
      <w:pPr>
        <w:pBdr/>
        <w:spacing w:after="120"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„ZAMAWIAJĄCYM”,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120"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Firmą …………………, z siedzibą w ……………………………..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NIP: ………………, REGON: ………………………,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reprezentowaną przez: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76" w:lineRule="auto"/>
        <w:ind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Panią/Pana …………….</w:t>
      </w:r>
      <w:r>
        <w:rPr>
          <w:rFonts w:ascii="Times New Roman" w:hAnsi="Times New Roman"/>
          <w:sz w:val="24"/>
          <w:szCs w:val="24"/>
        </w:rPr>
        <w:t xml:space="preserve"> zwaną/zwanego w dalszej części „WYKONAWCĄ” </w:t>
      </w:r>
      <w:r/>
    </w:p>
    <w:p>
      <w:pPr>
        <w:pBdr/>
        <w:spacing w:after="0" w:line="276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76" w:lineRule="auto"/>
        <w:ind/>
        <w:jc w:val="center"/>
        <w:rPr>
          <w:rFonts w:ascii="Times New Roman" w:hAnsi="Times New Roman" w:eastAsia="Wingdings 2"/>
          <w:b/>
          <w:sz w:val="24"/>
          <w:szCs w:val="24"/>
        </w:rPr>
      </w:pPr>
      <w:r>
        <w:rPr>
          <w:rFonts w:ascii="Times New Roman" w:hAnsi="Times New Roman" w:eastAsia="Wingdings 2"/>
          <w:b/>
          <w:sz w:val="24"/>
          <w:szCs w:val="24"/>
        </w:rPr>
        <w:t xml:space="preserve">§ 1</w:t>
      </w:r>
      <w:r>
        <w:rPr>
          <w:rFonts w:ascii="Times New Roman" w:hAnsi="Times New Roman" w:eastAsia="Wingdings 2"/>
          <w:b/>
          <w:sz w:val="24"/>
          <w:szCs w:val="24"/>
        </w:rPr>
      </w:r>
      <w:r>
        <w:rPr>
          <w:rFonts w:ascii="Times New Roman" w:hAnsi="Times New Roman" w:eastAsia="Wingdings 2"/>
          <w:b/>
          <w:sz w:val="24"/>
          <w:szCs w:val="24"/>
        </w:rPr>
      </w:r>
    </w:p>
    <w:p>
      <w:pPr>
        <w:pStyle w:val="999"/>
        <w:numPr>
          <w:ilvl w:val="0"/>
          <w:numId w:val="41"/>
        </w:numPr>
        <w:pBdr/>
        <w:spacing w:after="0" w:line="276" w:lineRule="auto"/>
        <w:ind/>
        <w:rPr>
          <w:rFonts w:ascii="Times New Roman" w:hAnsi="Times New Roman" w:eastAsia="Wingdings 2"/>
          <w:bCs/>
          <w:sz w:val="24"/>
          <w:szCs w:val="24"/>
        </w:rPr>
      </w:pPr>
      <w:r>
        <w:rPr>
          <w:rFonts w:ascii="Times New Roman" w:hAnsi="Times New Roman" w:eastAsia="Wingdings 2"/>
          <w:bCs/>
          <w:sz w:val="24"/>
          <w:szCs w:val="24"/>
        </w:rPr>
        <w:t xml:space="preserve">Umowa jest zawarta na podstawie zapytania ofertowego.</w:t>
      </w:r>
      <w:r>
        <w:rPr>
          <w:rFonts w:ascii="Times New Roman" w:hAnsi="Times New Roman" w:eastAsia="Wingdings 2"/>
          <w:bCs/>
          <w:sz w:val="24"/>
          <w:szCs w:val="24"/>
        </w:rPr>
      </w:r>
      <w:r>
        <w:rPr>
          <w:rFonts w:ascii="Times New Roman" w:hAnsi="Times New Roman" w:eastAsia="Wingdings 2"/>
          <w:bCs/>
          <w:sz w:val="24"/>
          <w:szCs w:val="24"/>
        </w:rPr>
      </w:r>
    </w:p>
    <w:p>
      <w:pPr>
        <w:pStyle w:val="999"/>
        <w:numPr>
          <w:ilvl w:val="0"/>
          <w:numId w:val="41"/>
        </w:num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Przedmiotem umowy jest zakup paliw płynnych </w:t>
      </w:r>
      <w:r>
        <w:rPr>
          <w:rFonts w:ascii="Times New Roman" w:hAnsi="Times New Roman" w:eastAsia="Wingdings 2"/>
          <w:sz w:val="24"/>
          <w:szCs w:val="24"/>
        </w:rPr>
        <w:t xml:space="preserve">i towarów </w:t>
      </w:r>
      <w:r>
        <w:rPr>
          <w:rFonts w:ascii="Times New Roman" w:hAnsi="Times New Roman" w:eastAsia="Wingdings 2"/>
          <w:sz w:val="24"/>
          <w:szCs w:val="24"/>
        </w:rPr>
        <w:t xml:space="preserve">zgodnie z warunkami zawartymi w zapytaniu ofertowym, rozliczana bezgotówkowo dla potrzeb Zamawiającego.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/>
        <w:jc w:val="center"/>
        <w:rPr/>
      </w:pPr>
      <w:r>
        <w:rPr>
          <w:rFonts w:ascii="Times New Roman" w:hAnsi="Times New Roman" w:eastAsia="Wingdings 2"/>
          <w:b/>
          <w:sz w:val="24"/>
          <w:szCs w:val="24"/>
        </w:rPr>
        <w:t xml:space="preserve">§ 2</w:t>
      </w:r>
      <w:r/>
    </w:p>
    <w:p>
      <w:pPr>
        <w:numPr>
          <w:ilvl w:val="0"/>
          <w:numId w:val="19"/>
        </w:numPr>
        <w:pBdr/>
        <w:spacing w:after="0" w:line="276" w:lineRule="auto"/>
        <w:ind w:left="360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Sprzedaż paliw i towarów odbywać się będzie sukcesywnie, w zależności od potrzeb Zamawiającego na stacjach paliw Wykonawcy.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18"/>
        </w:numPr>
        <w:pBdr/>
        <w:spacing w:after="0" w:line="276" w:lineRule="auto"/>
        <w:ind w:left="360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Strony ustalają, że zakup odbywać się będzie w formie bezgotówkowej przez upoważnionych pracowników Zamawiającego.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18"/>
        </w:numPr>
        <w:pBdr/>
        <w:spacing w:after="0" w:line="276" w:lineRule="auto"/>
        <w:ind w:left="360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Wykonawca przyjmuje do zrealizowania wydanie następujących paliw płynnych: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 w:left="360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a)</w:t>
      </w:r>
      <w:r>
        <w:rPr>
          <w:rFonts w:ascii="Times New Roman" w:hAnsi="Times New Roman" w:eastAsia="Wingdings 2"/>
          <w:sz w:val="24"/>
          <w:szCs w:val="24"/>
        </w:rPr>
        <w:tab/>
        <w:t xml:space="preserve">etylina PB 95 w szacunkowej ilości – </w:t>
      </w:r>
      <w:r>
        <w:rPr>
          <w:rFonts w:ascii="Times New Roman" w:hAnsi="Times New Roman" w:eastAsia="Wingdings 2"/>
          <w:sz w:val="24"/>
          <w:szCs w:val="24"/>
        </w:rPr>
        <w:t xml:space="preserve">4</w:t>
      </w:r>
      <w:r>
        <w:rPr>
          <w:rFonts w:ascii="Times New Roman" w:hAnsi="Times New Roman" w:eastAsia="Wingdings 2"/>
          <w:sz w:val="24"/>
          <w:szCs w:val="24"/>
        </w:rPr>
        <w:t xml:space="preserve"> 000,00 l,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 w:left="360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b)</w:t>
      </w:r>
      <w:r>
        <w:rPr>
          <w:rFonts w:ascii="Times New Roman" w:hAnsi="Times New Roman" w:eastAsia="Wingdings 2"/>
          <w:sz w:val="24"/>
          <w:szCs w:val="24"/>
        </w:rPr>
        <w:tab/>
        <w:t xml:space="preserve">oleju napędowego w szacunkowej ilości –</w:t>
      </w:r>
      <w:r>
        <w:rPr>
          <w:rFonts w:ascii="Times New Roman" w:hAnsi="Times New Roman" w:eastAsia="Wingdings 2"/>
          <w:sz w:val="24"/>
          <w:szCs w:val="24"/>
        </w:rPr>
        <w:t xml:space="preserve"> 1</w:t>
      </w:r>
      <w:r>
        <w:rPr>
          <w:rFonts w:ascii="Times New Roman" w:hAnsi="Times New Roman" w:eastAsia="Wingdings 2"/>
          <w:sz w:val="24"/>
          <w:szCs w:val="24"/>
        </w:rPr>
        <w:t xml:space="preserve">7</w:t>
      </w:r>
      <w:r>
        <w:rPr>
          <w:rFonts w:ascii="Times New Roman" w:hAnsi="Times New Roman" w:eastAsia="Wingdings 2"/>
          <w:sz w:val="24"/>
          <w:szCs w:val="24"/>
        </w:rPr>
        <w:t xml:space="preserve"> </w:t>
      </w:r>
      <w:r>
        <w:rPr>
          <w:rFonts w:ascii="Times New Roman" w:hAnsi="Times New Roman" w:eastAsia="Wingdings 2"/>
          <w:sz w:val="24"/>
          <w:szCs w:val="24"/>
        </w:rPr>
        <w:t xml:space="preserve">0</w:t>
      </w:r>
      <w:r>
        <w:rPr>
          <w:rFonts w:ascii="Times New Roman" w:hAnsi="Times New Roman" w:eastAsia="Wingdings 2"/>
          <w:sz w:val="24"/>
          <w:szCs w:val="24"/>
        </w:rPr>
        <w:t xml:space="preserve">00,00 l.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18"/>
        </w:numPr>
        <w:pBdr/>
        <w:spacing w:after="0" w:line="276" w:lineRule="auto"/>
        <w:ind w:left="360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Szacunkowa w</w:t>
      </w:r>
      <w:r>
        <w:rPr>
          <w:rFonts w:ascii="Times New Roman" w:hAnsi="Times New Roman" w:eastAsia="Wingdings 2"/>
          <w:sz w:val="24"/>
          <w:szCs w:val="24"/>
        </w:rPr>
        <w:t xml:space="preserve">artość umowy wynosi </w:t>
      </w:r>
      <w:r>
        <w:rPr>
          <w:rFonts w:ascii="Times New Roman" w:hAnsi="Times New Roman" w:eastAsia="Wingdings 2"/>
          <w:sz w:val="24"/>
          <w:szCs w:val="24"/>
        </w:rPr>
        <w:t xml:space="preserve">…………….</w:t>
      </w:r>
      <w:r>
        <w:rPr>
          <w:rFonts w:ascii="Times New Roman" w:hAnsi="Times New Roman" w:eastAsia="Wingdings 2"/>
          <w:sz w:val="24"/>
          <w:szCs w:val="24"/>
        </w:rPr>
        <w:t xml:space="preserve"> zł brutto.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18"/>
        </w:numPr>
        <w:pBdr/>
        <w:spacing w:after="0" w:line="276" w:lineRule="auto"/>
        <w:ind w:left="360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Ostateczna wartość zamówienia wynikać będzie z realizacji zamówienia do końca czasu trwania umowy, wg bieżących potrzeb Zamawiającego. W rzeczywistości podane ilości paliw mogą być mniejsze lub w</w:t>
      </w:r>
      <w:r>
        <w:rPr>
          <w:rFonts w:ascii="Times New Roman" w:hAnsi="Times New Roman" w:eastAsia="Wingdings 2"/>
          <w:sz w:val="24"/>
          <w:szCs w:val="24"/>
        </w:rPr>
        <w:t xml:space="preserve">iększe, w związku z czym Wykonawca nie może rościć skutków prawnych wobec Zamawiającego, a zaoferowany rabat, o którym mowa w §4 ust. 1 jest stały i będzie stosowany w okresie trwania umowy, bez względu na rzeczywistą (końcową) wielkość zakupionego towaru.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18"/>
        </w:numPr>
        <w:pBdr/>
        <w:spacing w:after="0" w:line="276" w:lineRule="auto"/>
        <w:ind w:left="360"/>
        <w:jc w:val="both"/>
        <w:rPr/>
      </w:pPr>
      <w:r>
        <w:rPr>
          <w:rFonts w:ascii="Times New Roman" w:hAnsi="Times New Roman" w:eastAsia="Wingdings 2"/>
          <w:sz w:val="24"/>
          <w:szCs w:val="24"/>
        </w:rPr>
        <w:t xml:space="preserve">W ramach zawartej umowy, możliwe będzie dokonywanie zakupu paliw płynnych, towarów i usług na stacjach paliw Wykonawcy w odległości nie większej niż 10 km od siedziby Zamawiającego.</w:t>
      </w:r>
      <w:r/>
    </w:p>
    <w:p>
      <w:p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/>
        <w:jc w:val="center"/>
        <w:rPr/>
      </w:pPr>
      <w:r>
        <w:rPr>
          <w:rFonts w:ascii="Times New Roman" w:hAnsi="Times New Roman" w:eastAsia="Wingdings 2"/>
          <w:b/>
          <w:sz w:val="24"/>
          <w:szCs w:val="24"/>
        </w:rPr>
        <w:t xml:space="preserve">§ 3</w:t>
      </w:r>
      <w:r/>
    </w:p>
    <w:p>
      <w:p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Wykonawca zobowiązany jest do realizacji przedmiotu umowy sukcesywnie, w ilościach określonych przez Zamawiającego, od 01.01.2025 roku do 31.12.2025 roku.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/>
        <w:jc w:val="center"/>
        <w:rPr/>
      </w:pPr>
      <w:r>
        <w:rPr>
          <w:rFonts w:ascii="Times New Roman" w:hAnsi="Times New Roman" w:eastAsia="Wingdings 2"/>
          <w:b/>
          <w:sz w:val="24"/>
          <w:szCs w:val="24"/>
        </w:rPr>
        <w:t xml:space="preserve">§ 4</w:t>
      </w:r>
      <w:r/>
    </w:p>
    <w:p>
      <w:pPr>
        <w:numPr>
          <w:ilvl w:val="0"/>
          <w:numId w:val="23"/>
        </w:numPr>
        <w:pBdr/>
        <w:spacing w:after="0" w:line="276" w:lineRule="auto"/>
        <w:ind w:left="363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Obciążenie za sprzedane paliwa i towary odbywać się będzie wg cen detalicznych obowiązujących w dniu sprzedaży, pomniejszonych o rabat podany w ofercie Wykonawcy w wysokości: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25"/>
        </w:numPr>
        <w:pBdr/>
        <w:spacing w:after="0" w:line="276" w:lineRule="auto"/>
        <w:ind w:left="1083"/>
        <w:jc w:val="both"/>
        <w:rPr>
          <w:rFonts w:ascii="Times New Roman" w:hAnsi="Times New Roman" w:eastAsia="Wingdings 2"/>
          <w:color w:val="000000" w:themeColor="text1"/>
          <w:sz w:val="24"/>
          <w:szCs w:val="24"/>
        </w:rPr>
      </w:pPr>
      <w:r>
        <w:rPr>
          <w:rFonts w:ascii="Times New Roman" w:hAnsi="Times New Roman" w:eastAsia="Wingdings 2"/>
          <w:color w:val="000000" w:themeColor="text1"/>
          <w:sz w:val="24"/>
          <w:szCs w:val="24"/>
        </w:rPr>
        <w:t xml:space="preserve">etylina PB 95 – ……. zł</w:t>
      </w:r>
      <w:r>
        <w:rPr>
          <w:rFonts w:ascii="Times New Roman" w:hAnsi="Times New Roman" w:eastAsia="Wingdings 2"/>
          <w:color w:val="000000" w:themeColor="text1"/>
          <w:sz w:val="24"/>
          <w:szCs w:val="24"/>
        </w:rPr>
      </w:r>
      <w:r>
        <w:rPr>
          <w:rFonts w:ascii="Times New Roman" w:hAnsi="Times New Roman" w:eastAsia="Wingdings 2"/>
          <w:color w:val="000000" w:themeColor="text1"/>
          <w:sz w:val="24"/>
          <w:szCs w:val="24"/>
        </w:rPr>
      </w:r>
    </w:p>
    <w:p>
      <w:pPr>
        <w:numPr>
          <w:ilvl w:val="0"/>
          <w:numId w:val="24"/>
        </w:numPr>
        <w:pBdr/>
        <w:spacing w:after="0" w:line="276" w:lineRule="auto"/>
        <w:ind w:left="1083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olej napędowy ON – …… zł.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22"/>
        </w:numPr>
        <w:pBdr/>
        <w:spacing w:after="0" w:line="276" w:lineRule="auto"/>
        <w:ind w:left="363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Cyklicznie raz w miesiącu kalendarzowym – w ostatnim dniu każdego miesiąca wystawiana będzie faktura VAT ustalająca należności za faktycznie zakupione paliwo</w:t>
      </w:r>
      <w:r>
        <w:rPr>
          <w:rFonts w:ascii="Times New Roman" w:hAnsi="Times New Roman" w:eastAsia="Wingdings 2"/>
          <w:sz w:val="24"/>
          <w:szCs w:val="24"/>
        </w:rPr>
        <w:t xml:space="preserve"> oraz towary.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22"/>
        </w:numPr>
        <w:pBdr/>
        <w:spacing w:after="0" w:line="276" w:lineRule="auto"/>
        <w:ind w:left="363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Płatność za prawidłowo wystawioną fakturę miesięczną będzie realizowana przelewem, w terminie 30 dni </w:t>
      </w:r>
      <w:r>
        <w:rPr>
          <w:rFonts w:ascii="Times New Roman" w:hAnsi="Times New Roman" w:eastAsia="Wingdings 2"/>
          <w:sz w:val="24"/>
          <w:szCs w:val="24"/>
        </w:rPr>
        <w:t xml:space="preserve">od wystawienia faktury </w:t>
      </w:r>
      <w:r>
        <w:rPr>
          <w:rFonts w:ascii="Times New Roman" w:hAnsi="Times New Roman" w:eastAsia="Wingdings 2"/>
          <w:sz w:val="24"/>
          <w:szCs w:val="24"/>
        </w:rPr>
        <w:t xml:space="preserve">na wskazane konto Wykonawcy. Nr konta bankowego: ................................................................................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22"/>
        </w:numPr>
        <w:pBdr/>
        <w:spacing w:after="0" w:line="276" w:lineRule="auto"/>
        <w:ind w:left="363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Wprowadza się następujące zasady dotyczące płatności wynagrodzenia należnego dla Wykonawcy z tytułu realizacji Umowy z zastosowaniem mechanizmu podzielonej płatności</w:t>
      </w:r>
      <w:r>
        <w:rPr>
          <w:rFonts w:ascii="Times New Roman" w:hAnsi="Times New Roman" w:eastAsia="Wingdings 2"/>
          <w:sz w:val="24"/>
          <w:szCs w:val="24"/>
        </w:rPr>
        <w:t xml:space="preserve">: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Style w:val="999"/>
        <w:numPr>
          <w:ilvl w:val="1"/>
          <w:numId w:val="43"/>
        </w:numPr>
        <w:pBdr/>
        <w:spacing w:after="0" w:line="276" w:lineRule="auto"/>
        <w:ind w:left="360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Zamawiający zastrzega sobie prawo rozliczenia płatności wynikających z umowy za pośrednictwem metody podzielonej płatności (ang. split payment) przewidzianego w przepisach ustawy o podatku od towarów i usług.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Style w:val="999"/>
        <w:numPr>
          <w:ilvl w:val="1"/>
          <w:numId w:val="43"/>
        </w:numPr>
        <w:pBdr/>
        <w:spacing w:after="0" w:line="276" w:lineRule="auto"/>
        <w:ind w:left="360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Wykonawca oświadcza, że rachunek bankowy wskazany na fakturze: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Style w:val="999"/>
        <w:numPr>
          <w:ilvl w:val="0"/>
          <w:numId w:val="40"/>
        </w:numPr>
        <w:pBdr/>
        <w:spacing w:after="0" w:line="276" w:lineRule="auto"/>
        <w:ind w:left="357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jest rachunkiem umożliwiającym płatność w ramach mechanizmu podzielonej płatności, o którym mowa powyżej.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Style w:val="999"/>
        <w:numPr>
          <w:ilvl w:val="0"/>
          <w:numId w:val="40"/>
        </w:numPr>
        <w:pBdr/>
        <w:spacing w:after="0" w:line="276" w:lineRule="auto"/>
        <w:ind w:left="357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jest rachunkiem znajdującym się w elektronicznym wykazie podmiotów prowadzonym od 1 września 2019 r. przez Szefa Krajowej Administracji Skarbowej, o którym mowa w ustawie o podatku od towarów i usług.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22"/>
        </w:numPr>
        <w:pBdr/>
        <w:spacing w:after="0" w:line="276" w:lineRule="auto"/>
        <w:ind w:left="363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Jako datę zapłaty faktury rozumie się datę obciążenia rachunku Zamawiającego.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22"/>
        </w:numPr>
        <w:pBdr/>
        <w:spacing w:after="0" w:line="276" w:lineRule="auto"/>
        <w:ind w:left="363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Za niedotrzymanie terminu płatności Wykonawca ma prawo naliczenia odsetek ustawowych.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22"/>
        </w:numPr>
        <w:pBdr/>
        <w:spacing w:after="0" w:line="276" w:lineRule="auto"/>
        <w:ind w:left="363"/>
        <w:jc w:val="both"/>
        <w:rPr/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Po każdej transakcji Kierowca otrzyma dowód wydania paliwa, na podstawie którego Wykonawca </w:t>
      </w:r>
      <w:r>
        <w:rPr>
          <w:rFonts w:ascii="Times New Roman" w:hAnsi="Times New Roman"/>
          <w:sz w:val="24"/>
          <w:szCs w:val="24"/>
          <w:lang w:eastAsia="pl-PL"/>
        </w:rPr>
        <w:t xml:space="preserve">wystawi </w:t>
      </w: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fakturę dla Zamawiającego.</w:t>
      </w:r>
      <w:r/>
    </w:p>
    <w:p>
      <w:pPr>
        <w:numPr>
          <w:ilvl w:val="0"/>
          <w:numId w:val="22"/>
        </w:numPr>
        <w:pBdr/>
        <w:spacing w:after="0" w:line="276" w:lineRule="auto"/>
        <w:ind w:left="363"/>
        <w:jc w:val="both"/>
        <w:rPr/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Wykonawca zobowiązany jest do umieszczenia na fakturze następujących informacji identyfikacyjnych:</w:t>
      </w:r>
      <w:r/>
    </w:p>
    <w:p>
      <w:pPr>
        <w:numPr>
          <w:ilvl w:val="0"/>
          <w:numId w:val="27"/>
        </w:numPr>
        <w:pBdr/>
        <w:spacing w:after="0" w:line="276" w:lineRule="auto"/>
        <w:ind w:left="723"/>
        <w:jc w:val="both"/>
        <w:rPr/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numer dowodu wydania paliwa,</w:t>
      </w:r>
      <w:r/>
    </w:p>
    <w:p>
      <w:pPr>
        <w:numPr>
          <w:ilvl w:val="0"/>
          <w:numId w:val="26"/>
        </w:numPr>
        <w:pBdr/>
        <w:spacing w:after="0" w:line="276" w:lineRule="auto"/>
        <w:ind w:left="723"/>
        <w:jc w:val="both"/>
        <w:rPr/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data i miejsce tankowania,</w:t>
      </w:r>
      <w:r/>
    </w:p>
    <w:p>
      <w:pPr>
        <w:numPr>
          <w:ilvl w:val="0"/>
          <w:numId w:val="26"/>
        </w:numPr>
        <w:pBdr/>
        <w:spacing w:after="0" w:line="276" w:lineRule="auto"/>
        <w:ind w:left="723"/>
        <w:jc w:val="both"/>
        <w:rPr/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numer rejestracyjny pojazdu,</w:t>
      </w:r>
      <w:r/>
    </w:p>
    <w:p>
      <w:pPr>
        <w:numPr>
          <w:ilvl w:val="0"/>
          <w:numId w:val="26"/>
        </w:numPr>
        <w:pBdr/>
        <w:spacing w:after="0" w:line="276" w:lineRule="auto"/>
        <w:ind w:left="723"/>
        <w:jc w:val="both"/>
        <w:rPr/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rodzaj i ilość zatankowanego paliwa, zakupionych towarów i wykonanych usług,</w:t>
      </w:r>
      <w:r/>
    </w:p>
    <w:p>
      <w:pPr>
        <w:numPr>
          <w:ilvl w:val="0"/>
          <w:numId w:val="26"/>
        </w:numPr>
        <w:pBdr/>
        <w:spacing w:after="0" w:line="276" w:lineRule="auto"/>
        <w:ind w:left="723"/>
        <w:jc w:val="both"/>
        <w:rPr/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wartość pobranego paliwa,</w:t>
      </w:r>
      <w:r/>
    </w:p>
    <w:p>
      <w:pPr>
        <w:numPr>
          <w:ilvl w:val="0"/>
          <w:numId w:val="26"/>
        </w:numPr>
        <w:pBdr/>
        <w:spacing w:after="0" w:line="276" w:lineRule="auto"/>
        <w:ind w:left="723"/>
        <w:jc w:val="both"/>
        <w:rPr/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cenę jednostkową obowiązująca na stacji paliw w dniu tankowania,</w:t>
      </w:r>
      <w:r/>
    </w:p>
    <w:p>
      <w:pPr>
        <w:numPr>
          <w:ilvl w:val="0"/>
          <w:numId w:val="26"/>
        </w:numPr>
        <w:pBdr/>
        <w:spacing w:after="0" w:line="276" w:lineRule="auto"/>
        <w:ind w:left="723"/>
        <w:jc w:val="both"/>
        <w:rPr/>
      </w:pP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kwotę udzielonego rabatu.</w:t>
      </w:r>
      <w:r/>
    </w:p>
    <w:p>
      <w:pPr>
        <w:numPr>
          <w:ilvl w:val="0"/>
          <w:numId w:val="22"/>
        </w:numPr>
        <w:pBdr/>
        <w:spacing w:after="0" w:line="276" w:lineRule="auto"/>
        <w:ind w:left="363"/>
        <w:jc w:val="both"/>
        <w:rPr/>
      </w:pPr>
      <w:r>
        <w:rPr>
          <w:rFonts w:ascii="Times New Roman" w:hAnsi="Times New Roman" w:eastAsia="Wingdings 2"/>
          <w:sz w:val="24"/>
          <w:szCs w:val="24"/>
        </w:rPr>
        <w:t xml:space="preserve">Faktury będą przesyłane w formie elektronicznej </w:t>
      </w:r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na adres: </w:t>
      </w:r>
      <w:hyperlink r:id="rId11" w:tooltip="mailto:poczta@malkiniagorna.pl" w:history="1">
        <w:r>
          <w:rPr>
            <w:rFonts w:ascii="Times New Roman" w:hAnsi="Times New Roman" w:eastAsia="Times New Roman"/>
            <w:color w:val="0563c1"/>
            <w:sz w:val="24"/>
            <w:szCs w:val="24"/>
            <w:u w:val="single"/>
            <w:lang w:eastAsia="pl-PL"/>
          </w:rPr>
          <w:t xml:space="preserve">poczta@malkiniagorna.pl</w:t>
        </w:r>
      </w:hyperlink>
      <w:r>
        <w:rPr>
          <w:rFonts w:ascii="Times New Roman" w:hAnsi="Times New Roman" w:eastAsia="Times New Roman"/>
          <w:color w:val="000000"/>
          <w:sz w:val="24"/>
          <w:szCs w:val="24"/>
          <w:lang w:eastAsia="pl-PL"/>
        </w:rPr>
        <w:t xml:space="preserve"> .</w:t>
      </w:r>
      <w:r/>
    </w:p>
    <w:p>
      <w:pPr>
        <w:numPr>
          <w:ilvl w:val="0"/>
          <w:numId w:val="22"/>
        </w:numPr>
        <w:pBdr/>
        <w:spacing w:after="0" w:line="276" w:lineRule="auto"/>
        <w:ind w:left="363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Szczegółowy wykaz pojazdów Zamawiający dostarczy w dniu podpisania umowy.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22"/>
        </w:numPr>
        <w:pBdr/>
        <w:spacing w:after="0" w:line="276" w:lineRule="auto"/>
        <w:ind w:left="363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Dane do faktury: Gmina Małkinia Górna, ul. Przedszkolnej 1, 07-320 Małkinia Górna, NIP: 759-16-24-930  REGON 550667920</w:t>
      </w:r>
      <w:r>
        <w:rPr>
          <w:rFonts w:ascii="Times New Roman" w:hAnsi="Times New Roman" w:eastAsia="Wingdings 2"/>
          <w:sz w:val="24"/>
          <w:szCs w:val="24"/>
        </w:rPr>
        <w:t xml:space="preserve">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/>
        <w:jc w:val="center"/>
        <w:rPr/>
      </w:pPr>
      <w:r>
        <w:rPr>
          <w:rFonts w:ascii="Times New Roman" w:hAnsi="Times New Roman" w:eastAsia="Wingdings 2"/>
          <w:b/>
          <w:sz w:val="24"/>
          <w:szCs w:val="24"/>
        </w:rPr>
        <w:t xml:space="preserve">§ 5</w:t>
      </w:r>
      <w:r/>
    </w:p>
    <w:p>
      <w:p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Zamawiający zastrzega sobie możliwość odst</w:t>
      </w:r>
      <w:r>
        <w:rPr>
          <w:rFonts w:ascii="Times New Roman" w:hAnsi="Times New Roman" w:eastAsia="Wingdings 2"/>
          <w:sz w:val="24"/>
          <w:szCs w:val="24"/>
        </w:rPr>
        <w:t xml:space="preserve">ąpienia od umowy w razie zaistnienia istotnej zmiany okoliczności powodującej, że wykonanie umowy nie leży w interesie publicznym, a czego nie można było przewidzieć w chwili zawarcia umowy, w terminie 30 dni od powzięcia wiadomości o tych okolicznościach.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/>
        <w:jc w:val="center"/>
        <w:rPr>
          <w:rFonts w:ascii="Times New Roman" w:hAnsi="Times New Roman" w:eastAsia="Wingdings 2"/>
          <w:b/>
          <w:bCs/>
          <w:sz w:val="24"/>
          <w:szCs w:val="24"/>
        </w:rPr>
      </w:pPr>
      <w:r>
        <w:rPr>
          <w:rFonts w:ascii="Times New Roman" w:hAnsi="Times New Roman" w:eastAsia="Wingdings 2"/>
          <w:b/>
          <w:bCs/>
          <w:sz w:val="24"/>
          <w:szCs w:val="24"/>
        </w:rPr>
        <w:t xml:space="preserve">§ 6</w:t>
      </w:r>
      <w:r>
        <w:rPr>
          <w:rFonts w:ascii="Times New Roman" w:hAnsi="Times New Roman" w:eastAsia="Wingdings 2"/>
          <w:b/>
          <w:bCs/>
          <w:sz w:val="24"/>
          <w:szCs w:val="24"/>
        </w:rPr>
      </w:r>
      <w:r>
        <w:rPr>
          <w:rFonts w:ascii="Times New Roman" w:hAnsi="Times New Roman" w:eastAsia="Wingdings 2"/>
          <w:b/>
          <w:bCs/>
          <w:sz w:val="24"/>
          <w:szCs w:val="24"/>
        </w:rPr>
      </w:r>
    </w:p>
    <w:p>
      <w:pPr>
        <w:pStyle w:val="999"/>
        <w:numPr>
          <w:ilvl w:val="0"/>
          <w:numId w:val="42"/>
        </w:num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Wykonawca oświadcza, że oferowane paliwo spełnia wymagania określone w Polskich Normach dla paliw płynnych.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Style w:val="999"/>
        <w:numPr>
          <w:ilvl w:val="0"/>
          <w:numId w:val="42"/>
        </w:num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 Zamawiający wymaga od Wykonawcy na całym etapie realizowania zamówienia należytej staranności, wysokiej jakości świadczonych usług oraz profesjonalnego podejścia do jego wykonania.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Style w:val="999"/>
        <w:numPr>
          <w:ilvl w:val="0"/>
          <w:numId w:val="42"/>
        </w:num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Wykonawca odpowiada za wszelkie szkody powstałe w związku z realizacją przedmiotu umowy, w tym również za szkody środowiskowe, jak również odpowiada za szkody wynikłe na skutek niewykonania lub nienależytego wykonania przedmiotu umowy.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Style w:val="999"/>
        <w:numPr>
          <w:ilvl w:val="0"/>
          <w:numId w:val="42"/>
        </w:num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W przypadku niewykonania lub nienależytego wykonania Usługi Zamawiający</w:t>
      </w:r>
      <w:r>
        <w:rPr>
          <w:rFonts w:ascii="Times New Roman" w:hAnsi="Times New Roman" w:eastAsia="Wingdings 2"/>
          <w:sz w:val="24"/>
          <w:szCs w:val="24"/>
        </w:rPr>
        <w:t xml:space="preserve"> zastrzega sobie prawo o zlecenia wykonania przedmiotu umowy podmiotowi trzeciemu i obciążenia Wykonawcy kosztami w wysokości różnicy pomiędzy kosztami przewidzianymi w umowie, wynikającymi z realizacji przedmiotu umowy, a faktycznie poniesionymi kosztami.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/>
        <w:jc w:val="center"/>
        <w:rPr>
          <w:rFonts w:ascii="Times New Roman" w:hAnsi="Times New Roman" w:eastAsia="Wingdings 2"/>
          <w:b/>
          <w:sz w:val="24"/>
          <w:szCs w:val="24"/>
        </w:rPr>
      </w:pPr>
      <w:r>
        <w:rPr>
          <w:rFonts w:ascii="Times New Roman" w:hAnsi="Times New Roman" w:eastAsia="Wingdings 2"/>
          <w:b/>
          <w:sz w:val="24"/>
          <w:szCs w:val="24"/>
        </w:rPr>
        <w:t xml:space="preserve">§ 7</w:t>
      </w:r>
      <w:r>
        <w:rPr>
          <w:rFonts w:ascii="Times New Roman" w:hAnsi="Times New Roman" w:eastAsia="Wingdings 2"/>
          <w:b/>
          <w:sz w:val="24"/>
          <w:szCs w:val="24"/>
        </w:rPr>
      </w:r>
      <w:r>
        <w:rPr>
          <w:rFonts w:ascii="Times New Roman" w:hAnsi="Times New Roman" w:eastAsia="Wingdings 2"/>
          <w:b/>
          <w:sz w:val="24"/>
          <w:szCs w:val="24"/>
        </w:rPr>
      </w:r>
    </w:p>
    <w:p>
      <w:pPr>
        <w:pBdr/>
        <w:spacing w:after="0" w:line="276" w:lineRule="auto"/>
        <w:ind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Strony ustalają kary umowne o następującej treści: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Style w:val="999"/>
        <w:numPr>
          <w:ilvl w:val="0"/>
          <w:numId w:val="44"/>
        </w:numPr>
        <w:pBdr/>
        <w:shd w:val="clear" w:color="auto" w:fill="ffffff"/>
        <w:spacing w:after="0" w:line="276" w:lineRule="auto"/>
        <w:ind w:right="28"/>
        <w:jc w:val="both"/>
        <w:rPr>
          <w:rFonts w:ascii="Times New Roman" w:hAnsi="Times New Roman" w:eastAsia="Wingdings 2"/>
          <w:sz w:val="24"/>
          <w:szCs w:val="24"/>
          <w:lang w:eastAsia="pl-PL"/>
        </w:rPr>
      </w:pP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W razie niewykonania lub nienależytego wykonania umowy Wykonawca zobowiązuje się zapłacić zamawiającemu karę umowną w następujących przypadkach :</w:t>
      </w:r>
      <w:r>
        <w:rPr>
          <w:rFonts w:ascii="Times New Roman" w:hAnsi="Times New Roman" w:eastAsia="Wingdings 2"/>
          <w:sz w:val="24"/>
          <w:szCs w:val="24"/>
          <w:lang w:eastAsia="pl-PL"/>
        </w:rPr>
      </w:r>
      <w:r>
        <w:rPr>
          <w:rFonts w:ascii="Times New Roman" w:hAnsi="Times New Roman" w:eastAsia="Wingdings 2"/>
          <w:sz w:val="24"/>
          <w:szCs w:val="24"/>
          <w:lang w:eastAsia="pl-PL"/>
        </w:rPr>
      </w:r>
    </w:p>
    <w:p>
      <w:pPr>
        <w:pStyle w:val="999"/>
        <w:pBdr/>
        <w:shd w:val="clear" w:color="auto" w:fill="ffffff"/>
        <w:spacing w:after="0" w:line="276" w:lineRule="auto"/>
        <w:ind w:right="28" w:left="360"/>
        <w:jc w:val="both"/>
        <w:rPr>
          <w:rFonts w:ascii="Times New Roman" w:hAnsi="Times New Roman" w:eastAsia="Wingdings 2"/>
          <w:sz w:val="24"/>
          <w:szCs w:val="24"/>
          <w:lang w:eastAsia="pl-PL"/>
        </w:rPr>
      </w:pP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a.</w:t>
      </w:r>
      <w:r>
        <w:rPr>
          <w:rFonts w:ascii="Times New Roman" w:hAnsi="Times New Roman" w:eastAsia="Wingdings 2"/>
          <w:sz w:val="24"/>
          <w:szCs w:val="24"/>
          <w:lang w:eastAsia="pl-PL"/>
        </w:rPr>
        <w:tab/>
        <w:t xml:space="preserve">za nieterminowe wykonanie przedmiotu umowy w wysokości 0,1 % 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wartości 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umowne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j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 brutto za każdy dzień zwłoki,</w:t>
      </w:r>
      <w:r>
        <w:rPr>
          <w:rFonts w:ascii="Times New Roman" w:hAnsi="Times New Roman" w:eastAsia="Wingdings 2"/>
          <w:sz w:val="24"/>
          <w:szCs w:val="24"/>
          <w:lang w:eastAsia="pl-PL"/>
        </w:rPr>
      </w:r>
      <w:r>
        <w:rPr>
          <w:rFonts w:ascii="Times New Roman" w:hAnsi="Times New Roman" w:eastAsia="Wingdings 2"/>
          <w:sz w:val="24"/>
          <w:szCs w:val="24"/>
          <w:lang w:eastAsia="pl-PL"/>
        </w:rPr>
      </w:r>
    </w:p>
    <w:p>
      <w:pPr>
        <w:pStyle w:val="999"/>
        <w:pBdr/>
        <w:shd w:val="clear" w:color="auto" w:fill="ffffff"/>
        <w:spacing w:after="0" w:line="276" w:lineRule="auto"/>
        <w:ind w:right="28" w:left="360"/>
        <w:jc w:val="both"/>
        <w:rPr>
          <w:rFonts w:ascii="Times New Roman" w:hAnsi="Times New Roman" w:eastAsia="Wingdings 2"/>
          <w:sz w:val="24"/>
          <w:szCs w:val="24"/>
          <w:lang w:eastAsia="pl-PL"/>
        </w:rPr>
      </w:pP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b.</w:t>
      </w:r>
      <w:r>
        <w:rPr>
          <w:rFonts w:ascii="Times New Roman" w:hAnsi="Times New Roman" w:eastAsia="Wingdings 2"/>
          <w:sz w:val="24"/>
          <w:szCs w:val="24"/>
          <w:lang w:eastAsia="pl-PL"/>
        </w:rPr>
        <w:tab/>
        <w:t xml:space="preserve">za odstąpienie od umowy z przyczyn zależnych od Wykonawcy w wysokości 5 %  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wartości umownej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 brutto,</w:t>
      </w:r>
      <w:r>
        <w:rPr>
          <w:rFonts w:ascii="Times New Roman" w:hAnsi="Times New Roman" w:eastAsia="Wingdings 2"/>
          <w:sz w:val="24"/>
          <w:szCs w:val="24"/>
          <w:lang w:eastAsia="pl-PL"/>
        </w:rPr>
      </w:r>
      <w:r>
        <w:rPr>
          <w:rFonts w:ascii="Times New Roman" w:hAnsi="Times New Roman" w:eastAsia="Wingdings 2"/>
          <w:sz w:val="24"/>
          <w:szCs w:val="24"/>
          <w:lang w:eastAsia="pl-PL"/>
        </w:rPr>
      </w:r>
    </w:p>
    <w:p>
      <w:pPr>
        <w:pStyle w:val="999"/>
        <w:numPr>
          <w:ilvl w:val="0"/>
          <w:numId w:val="44"/>
        </w:numPr>
        <w:pBdr/>
        <w:shd w:val="clear" w:color="auto" w:fill="ffffff"/>
        <w:spacing w:after="0" w:line="276" w:lineRule="auto"/>
        <w:ind w:right="28"/>
        <w:jc w:val="both"/>
        <w:rPr>
          <w:rFonts w:ascii="Times New Roman" w:hAnsi="Times New Roman" w:eastAsia="Wingdings 2"/>
          <w:sz w:val="24"/>
          <w:szCs w:val="24"/>
          <w:lang w:eastAsia="pl-PL"/>
        </w:rPr>
      </w:pP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Zamawiający zobowiązuje się zapłacić Wykonawcy karę umowną za odstąpienie od umowy z przyczyn niezależnych od Wykonawcy, z wyjątkiem przyczyny, o której mowa w § 5 umowy, w wysokości 5 %  w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artości umownej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 brutto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.</w:t>
      </w:r>
      <w:r>
        <w:rPr>
          <w:rFonts w:ascii="Times New Roman" w:hAnsi="Times New Roman" w:eastAsia="Wingdings 2"/>
          <w:sz w:val="24"/>
          <w:szCs w:val="24"/>
          <w:lang w:eastAsia="pl-PL"/>
        </w:rPr>
      </w:r>
      <w:r>
        <w:rPr>
          <w:rFonts w:ascii="Times New Roman" w:hAnsi="Times New Roman" w:eastAsia="Wingdings 2"/>
          <w:sz w:val="24"/>
          <w:szCs w:val="24"/>
          <w:lang w:eastAsia="pl-PL"/>
        </w:rPr>
      </w:r>
    </w:p>
    <w:p>
      <w:pPr>
        <w:pStyle w:val="999"/>
        <w:numPr>
          <w:ilvl w:val="0"/>
          <w:numId w:val="44"/>
        </w:numPr>
        <w:pBdr/>
        <w:shd w:val="clear" w:color="auto" w:fill="ffffff"/>
        <w:spacing w:after="0" w:line="276" w:lineRule="auto"/>
        <w:ind w:right="28"/>
        <w:jc w:val="both"/>
        <w:rPr>
          <w:rFonts w:ascii="Times New Roman" w:hAnsi="Times New Roman" w:eastAsia="Wingdings 2"/>
          <w:sz w:val="24"/>
          <w:szCs w:val="24"/>
          <w:lang w:eastAsia="pl-PL"/>
        </w:rPr>
      </w:pP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Maksymalna wysokość kar nie może przekroczyć 30% 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wynagrodzenia umownego brutto</w:t>
      </w: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.</w:t>
      </w:r>
      <w:r>
        <w:rPr>
          <w:rFonts w:ascii="Times New Roman" w:hAnsi="Times New Roman" w:eastAsia="Wingdings 2"/>
          <w:sz w:val="24"/>
          <w:szCs w:val="24"/>
          <w:lang w:eastAsia="pl-PL"/>
        </w:rPr>
      </w:r>
      <w:r>
        <w:rPr>
          <w:rFonts w:ascii="Times New Roman" w:hAnsi="Times New Roman" w:eastAsia="Wingdings 2"/>
          <w:sz w:val="24"/>
          <w:szCs w:val="24"/>
          <w:lang w:eastAsia="pl-PL"/>
        </w:rPr>
      </w:r>
    </w:p>
    <w:p>
      <w:pPr>
        <w:pStyle w:val="999"/>
        <w:numPr>
          <w:ilvl w:val="0"/>
          <w:numId w:val="44"/>
        </w:numPr>
        <w:pBdr/>
        <w:shd w:val="clear" w:color="auto" w:fill="ffffff"/>
        <w:spacing w:after="0" w:line="276" w:lineRule="auto"/>
        <w:ind w:right="28"/>
        <w:jc w:val="both"/>
        <w:rPr>
          <w:rFonts w:ascii="Times New Roman" w:hAnsi="Times New Roman" w:eastAsia="Wingdings 2"/>
          <w:sz w:val="24"/>
          <w:szCs w:val="24"/>
          <w:lang w:eastAsia="pl-PL"/>
        </w:rPr>
      </w:pP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Zapis ust. 1 i 2 nie wyłącza dochodzenia naprawienia szkody z innych tytułów, na zasadach ogólnych.</w:t>
      </w:r>
      <w:r>
        <w:rPr>
          <w:rFonts w:ascii="Times New Roman" w:hAnsi="Times New Roman" w:eastAsia="Wingdings 2"/>
          <w:sz w:val="24"/>
          <w:szCs w:val="24"/>
          <w:lang w:eastAsia="pl-PL"/>
        </w:rPr>
      </w:r>
      <w:r>
        <w:rPr>
          <w:rFonts w:ascii="Times New Roman" w:hAnsi="Times New Roman" w:eastAsia="Wingdings 2"/>
          <w:sz w:val="24"/>
          <w:szCs w:val="24"/>
          <w:lang w:eastAsia="pl-PL"/>
        </w:rPr>
      </w:r>
    </w:p>
    <w:p>
      <w:pPr>
        <w:pStyle w:val="999"/>
        <w:numPr>
          <w:ilvl w:val="0"/>
          <w:numId w:val="44"/>
        </w:numPr>
        <w:pBdr/>
        <w:shd w:val="clear" w:color="auto" w:fill="ffffff"/>
        <w:spacing w:after="0" w:line="276" w:lineRule="auto"/>
        <w:ind w:right="28"/>
        <w:jc w:val="both"/>
        <w:rPr>
          <w:rFonts w:ascii="Times New Roman" w:hAnsi="Times New Roman" w:eastAsia="Wingdings 2"/>
          <w:sz w:val="24"/>
          <w:szCs w:val="24"/>
          <w:lang w:eastAsia="pl-PL"/>
        </w:rPr>
      </w:pP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Wykonawca wyraża zgodę na potrącenie kar umownych zastrzeżonych umową z należnego mu wynagrodzenia.</w:t>
      </w:r>
      <w:r>
        <w:rPr>
          <w:rFonts w:ascii="Times New Roman" w:hAnsi="Times New Roman" w:eastAsia="Wingdings 2"/>
          <w:sz w:val="24"/>
          <w:szCs w:val="24"/>
          <w:lang w:eastAsia="pl-PL"/>
        </w:rPr>
      </w:r>
      <w:r>
        <w:rPr>
          <w:rFonts w:ascii="Times New Roman" w:hAnsi="Times New Roman" w:eastAsia="Wingdings 2"/>
          <w:sz w:val="24"/>
          <w:szCs w:val="24"/>
          <w:lang w:eastAsia="pl-PL"/>
        </w:rPr>
      </w:r>
    </w:p>
    <w:p>
      <w:pPr>
        <w:pStyle w:val="999"/>
        <w:numPr>
          <w:ilvl w:val="0"/>
          <w:numId w:val="44"/>
        </w:numPr>
        <w:pBdr/>
        <w:shd w:val="clear" w:color="auto" w:fill="ffffff"/>
        <w:spacing w:after="0" w:line="276" w:lineRule="auto"/>
        <w:ind w:right="28"/>
        <w:jc w:val="both"/>
        <w:rPr>
          <w:rFonts w:ascii="Times New Roman" w:hAnsi="Times New Roman" w:eastAsia="Wingdings 2"/>
          <w:sz w:val="24"/>
          <w:szCs w:val="24"/>
          <w:lang w:eastAsia="pl-PL"/>
        </w:rPr>
      </w:pPr>
      <w:r>
        <w:rPr>
          <w:rFonts w:ascii="Times New Roman" w:hAnsi="Times New Roman" w:eastAsia="Wingdings 2"/>
          <w:sz w:val="24"/>
          <w:szCs w:val="24"/>
          <w:lang w:eastAsia="pl-PL"/>
        </w:rPr>
        <w:t xml:space="preserve">Zamawiający zastrzega sobie prawo do odszkodowania uzupełniającego, przewyższającego wysokość kar umownych, do wysokości rzeczywiście poniesionej szkody.</w:t>
      </w:r>
      <w:r>
        <w:rPr>
          <w:rFonts w:ascii="Times New Roman" w:hAnsi="Times New Roman" w:eastAsia="Wingdings 2"/>
          <w:sz w:val="24"/>
          <w:szCs w:val="24"/>
          <w:lang w:eastAsia="pl-PL"/>
        </w:rPr>
      </w:r>
      <w:r>
        <w:rPr>
          <w:rFonts w:ascii="Times New Roman" w:hAnsi="Times New Roman" w:eastAsia="Wingdings 2"/>
          <w:sz w:val="24"/>
          <w:szCs w:val="24"/>
          <w:lang w:eastAsia="pl-PL"/>
        </w:rPr>
      </w:r>
    </w:p>
    <w:p>
      <w:pPr>
        <w:pBdr/>
        <w:spacing w:after="0" w:line="276" w:lineRule="auto"/>
        <w:ind/>
        <w:jc w:val="center"/>
        <w:rPr/>
      </w:pPr>
      <w:r>
        <w:rPr>
          <w:rFonts w:ascii="Times New Roman" w:hAnsi="Times New Roman" w:eastAsia="Wingdings 2"/>
          <w:b/>
          <w:sz w:val="24"/>
          <w:szCs w:val="24"/>
        </w:rPr>
        <w:t xml:space="preserve">§ 8</w:t>
      </w:r>
      <w:r/>
    </w:p>
    <w:p>
      <w:pPr>
        <w:numPr>
          <w:ilvl w:val="0"/>
          <w:numId w:val="33"/>
        </w:num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Wszelkie spory między Stronami będą rozstrzygane przez Sąd powszechny miejscowo właściwy dla siedziby Zamawiającego.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32"/>
        </w:num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Wszelkie zmiany i uzupełnienie treści umowy mogą być dokonywane wyłącznie w formie aneksu podpisanego przez obie strony.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32"/>
        </w:num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W sprawach nieuregulowanych umową zastosowanie mają przepisy Kodeksu cywilnego.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32"/>
        </w:num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Osobą do kontaktu ze strony Zamawiającego jest:</w:t>
      </w:r>
      <w:r>
        <w:rPr>
          <w:rFonts w:ascii="Times New Roman" w:hAnsi="Times New Roman" w:eastAsia="Wingdings 2"/>
          <w:sz w:val="24"/>
          <w:szCs w:val="24"/>
        </w:rPr>
        <w:t xml:space="preserve"> 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 w:left="363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…………………………………..</w:t>
      </w:r>
      <w:r>
        <w:rPr>
          <w:rFonts w:ascii="Times New Roman" w:hAnsi="Times New Roman" w:eastAsia="Wingdings 2"/>
          <w:sz w:val="24"/>
          <w:szCs w:val="24"/>
        </w:rPr>
        <w:t xml:space="preserve"> tel.</w:t>
      </w:r>
      <w:r>
        <w:rPr>
          <w:rFonts w:ascii="Times New Roman" w:hAnsi="Times New Roman" w:eastAsia="Wingdings 2"/>
          <w:sz w:val="24"/>
          <w:szCs w:val="24"/>
        </w:rPr>
        <w:t xml:space="preserve">……………</w:t>
      </w:r>
      <w:r>
        <w:rPr>
          <w:rFonts w:ascii="Times New Roman" w:hAnsi="Times New Roman" w:eastAsia="Wingdings 2"/>
          <w:sz w:val="24"/>
          <w:szCs w:val="24"/>
        </w:rPr>
        <w:br/>
      </w:r>
      <w:r>
        <w:rPr>
          <w:rFonts w:ascii="Times New Roman" w:hAnsi="Times New Roman" w:eastAsia="Wingdings 2"/>
          <w:sz w:val="24"/>
          <w:szCs w:val="24"/>
        </w:rPr>
        <w:t xml:space="preserve">ze strony Zamawiającego jest: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 w:left="363"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………………………………….. </w:t>
      </w:r>
      <w:r>
        <w:rPr>
          <w:rFonts w:ascii="Times New Roman" w:hAnsi="Times New Roman" w:eastAsia="Wingdings 2"/>
          <w:sz w:val="24"/>
          <w:szCs w:val="24"/>
        </w:rPr>
        <w:t xml:space="preserve"> tel. </w:t>
      </w:r>
      <w:r>
        <w:rPr>
          <w:rFonts w:ascii="Times New Roman" w:hAnsi="Times New Roman" w:eastAsia="Wingdings 2"/>
          <w:sz w:val="24"/>
          <w:szCs w:val="24"/>
        </w:rPr>
        <w:t xml:space="preserve">…………..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numPr>
          <w:ilvl w:val="0"/>
          <w:numId w:val="32"/>
        </w:num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  <w:t xml:space="preserve">Umowę sporządzono w trzech jednobrzmiących egzemplarzach, w tym dwa dla Zamawiającego i jeden dla Wykonawcy.</w:t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eastAsia="Wingdings 2"/>
          <w:sz w:val="24"/>
          <w:szCs w:val="24"/>
        </w:rPr>
      </w:pP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  <w:r>
        <w:rPr>
          <w:rFonts w:ascii="Times New Roman" w:hAnsi="Times New Roman" w:eastAsia="Wingdings 2"/>
          <w:sz w:val="24"/>
          <w:szCs w:val="24"/>
        </w:rPr>
      </w:r>
    </w:p>
    <w:p>
      <w:pPr>
        <w:pBdr/>
        <w:spacing w:line="360" w:lineRule="auto"/>
        <w:ind/>
        <w:rPr>
          <w:rFonts w:ascii="Times New Roman" w:hAnsi="Times New Roman" w:eastAsia="Wingdings 2"/>
          <w:b/>
          <w:sz w:val="24"/>
          <w:szCs w:val="24"/>
        </w:rPr>
      </w:pPr>
      <w:r>
        <w:rPr>
          <w:rFonts w:ascii="Times New Roman" w:hAnsi="Times New Roman" w:eastAsia="Wingdings 2"/>
          <w:b/>
          <w:sz w:val="24"/>
          <w:szCs w:val="24"/>
        </w:rPr>
      </w:r>
      <w:r>
        <w:rPr>
          <w:rFonts w:ascii="Times New Roman" w:hAnsi="Times New Roman" w:eastAsia="Wingdings 2"/>
          <w:b/>
          <w:sz w:val="24"/>
          <w:szCs w:val="24"/>
        </w:rPr>
      </w:r>
      <w:r>
        <w:rPr>
          <w:rFonts w:ascii="Times New Roman" w:hAnsi="Times New Roman" w:eastAsia="Wingdings 2"/>
          <w:b/>
          <w:sz w:val="24"/>
          <w:szCs w:val="24"/>
        </w:rPr>
      </w:r>
    </w:p>
    <w:p>
      <w:pPr>
        <w:pBdr/>
        <w:spacing w:after="2280" w:line="360" w:lineRule="auto"/>
        <w:ind w:left="567"/>
        <w:rPr/>
      </w:pPr>
      <w:r>
        <w:rPr>
          <w:rFonts w:ascii="Times New Roman" w:hAnsi="Times New Roman" w:eastAsia="Wingdings 2"/>
          <w:b/>
          <w:sz w:val="24"/>
          <w:szCs w:val="24"/>
        </w:rPr>
        <w:t xml:space="preserve">ZAMAWIAJĄCY</w:t>
      </w:r>
      <w:r>
        <w:rPr>
          <w:rFonts w:ascii="Times New Roman" w:hAnsi="Times New Roman" w:eastAsia="Wingdings 2"/>
          <w:b/>
          <w:sz w:val="24"/>
          <w:szCs w:val="24"/>
        </w:rPr>
        <w:tab/>
      </w:r>
      <w:r>
        <w:rPr>
          <w:rFonts w:ascii="Times New Roman" w:hAnsi="Times New Roman" w:eastAsia="Wingdings 2"/>
          <w:b/>
          <w:sz w:val="24"/>
          <w:szCs w:val="24"/>
        </w:rPr>
        <w:tab/>
      </w:r>
      <w:r>
        <w:rPr>
          <w:rFonts w:ascii="Times New Roman" w:hAnsi="Times New Roman" w:eastAsia="Wingdings 2"/>
          <w:sz w:val="24"/>
          <w:szCs w:val="24"/>
        </w:rPr>
        <w:tab/>
      </w:r>
      <w:r>
        <w:rPr>
          <w:rFonts w:ascii="Times New Roman" w:hAnsi="Times New Roman" w:eastAsia="Wingdings 2"/>
          <w:sz w:val="24"/>
          <w:szCs w:val="24"/>
        </w:rPr>
        <w:tab/>
      </w:r>
      <w:r>
        <w:rPr>
          <w:rFonts w:ascii="Times New Roman" w:hAnsi="Times New Roman" w:eastAsia="Wingdings 2"/>
          <w:sz w:val="24"/>
          <w:szCs w:val="24"/>
        </w:rPr>
        <w:tab/>
      </w:r>
      <w:r>
        <w:rPr>
          <w:rFonts w:ascii="Times New Roman" w:hAnsi="Times New Roman" w:eastAsia="Wingdings 2"/>
          <w:sz w:val="24"/>
          <w:szCs w:val="24"/>
        </w:rPr>
        <w:tab/>
      </w:r>
      <w:r>
        <w:rPr>
          <w:rFonts w:ascii="Times New Roman" w:hAnsi="Times New Roman" w:eastAsia="Wingdings 2"/>
          <w:b/>
          <w:sz w:val="24"/>
          <w:szCs w:val="24"/>
        </w:rPr>
        <w:t xml:space="preserve">WYKONAWCA</w:t>
      </w:r>
      <w:r/>
    </w:p>
    <w:p>
      <w:pPr>
        <w:pBdr/>
        <w:spacing/>
        <w:ind/>
        <w:rPr/>
      </w:pPr>
      <w:r/>
      <w:r/>
    </w:p>
    <w:p>
      <w:pPr>
        <w:pBdr/>
        <w:spacing w:after="0"/>
        <w:ind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0"/>
        <w:ind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/>
        <w:ind/>
        <w:rPr/>
      </w:pPr>
      <w:r>
        <w:separator/>
      </w:r>
      <w:r/>
    </w:p>
  </w:endnote>
  <w:endnote w:type="continuationSeparator" w:id="0">
    <w:p>
      <w:pPr>
        <w:pBdr/>
        <w:spacing w:after="0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Wingdings 2">
    <w:panose1 w:val="05000000000000000000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36351495"/>
      <w:docPartObj>
        <w:docPartGallery w:val="Page Numbers (Bottom of Page)"/>
        <w:docPartUnique w:val="true"/>
      </w:docPartObj>
      <w:rPr/>
    </w:sdtPr>
    <w:sdtContent>
      <w:p>
        <w:pPr>
          <w:pStyle w:val="1006"/>
          <w:pBdr/>
          <w:spacing/>
          <w:ind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2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/>
        <w:ind/>
        <w:rPr/>
      </w:pPr>
      <w:r>
        <w:separator/>
      </w:r>
      <w:r/>
    </w:p>
  </w:footnote>
  <w:footnote w:type="continuationSeparator" w:id="0">
    <w:p>
      <w:pPr>
        <w:pBdr/>
        <w:spacing w:after="0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pBdr/>
      <w:spacing/>
      <w:ind/>
      <w:jc w:val="center"/>
      <w:rPr/>
    </w:pPr>
    <w:r>
      <w:rPr>
        <w:rFonts w:ascii="Times New Roman" w:hAnsi="Times New Roman"/>
        <w:b/>
        <w:color w:val="000000"/>
        <w:sz w:val="18"/>
        <w:szCs w:val="18"/>
      </w:rPr>
      <w:t xml:space="preserve">„Zakup paliw płynnych do pojazdów i sprzętu służbowego Urzędu Gminy, samochodów pożarniczych oraz sprzętu spalinowego będącego własnością OSP z terenu Gminy Małkinia Górna w okresie </w:t>
    </w:r>
    <w:r>
      <w:rPr>
        <w:rStyle w:val="998"/>
        <w:rFonts w:ascii="Times New Roman" w:hAnsi="Times New Roman"/>
        <w:b/>
        <w:bCs/>
        <w:color w:val="000000"/>
        <w:sz w:val="18"/>
        <w:szCs w:val="18"/>
      </w:rPr>
      <w:t xml:space="preserve">od 01.01.202</w:t>
    </w:r>
    <w:r>
      <w:rPr>
        <w:rStyle w:val="998"/>
        <w:rFonts w:ascii="Times New Roman" w:hAnsi="Times New Roman"/>
        <w:b/>
        <w:bCs/>
        <w:color w:val="000000"/>
        <w:sz w:val="18"/>
        <w:szCs w:val="18"/>
      </w:rPr>
      <w:t xml:space="preserve">5</w:t>
    </w:r>
    <w:r>
      <w:rPr>
        <w:rStyle w:val="998"/>
        <w:rFonts w:ascii="Times New Roman" w:hAnsi="Times New Roman"/>
        <w:b/>
        <w:bCs/>
        <w:color w:val="000000"/>
        <w:sz w:val="18"/>
        <w:szCs w:val="18"/>
      </w:rPr>
      <w:t xml:space="preserve"> do 31.12.202</w:t>
    </w:r>
    <w:r>
      <w:rPr>
        <w:rStyle w:val="998"/>
        <w:rFonts w:ascii="Times New Roman" w:hAnsi="Times New Roman"/>
        <w:b/>
        <w:bCs/>
        <w:color w:val="000000"/>
        <w:sz w:val="18"/>
        <w:szCs w:val="18"/>
      </w:rPr>
      <w:t xml:space="preserve">5</w:t>
    </w:r>
    <w:r>
      <w:rPr>
        <w:rStyle w:val="998"/>
        <w:rFonts w:ascii="Times New Roman" w:hAnsi="Times New Roman"/>
        <w:b/>
        <w:bCs/>
        <w:color w:val="000000"/>
        <w:sz w:val="18"/>
        <w:szCs w:val="18"/>
      </w:rPr>
      <w:t xml:space="preserve"> roku”.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1068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788"/>
      </w:pPr>
      <w:rPr>
        <w:sz w:val="20"/>
        <w:szCs w:val="20"/>
      </w:rPr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36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3948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6108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6828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lowerLetter"/>
      <w:pPr>
        <w:pBdr/>
        <w:spacing/>
        <w:ind w:hanging="360" w:left="144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3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upperRoman"/>
      <w:pPr>
        <w:pBdr/>
        <w:spacing/>
        <w:ind w:hanging="360" w:left="360"/>
      </w:pPr>
      <w:rPr>
        <w:b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654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374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360" w:left="209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14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spacing/>
        <w:ind w:hanging="360" w:left="3534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spacing/>
        <w:ind w:hanging="360" w:left="425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74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spacing/>
        <w:ind w:hanging="360" w:left="5694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spacing/>
        <w:ind w:hanging="360" w:left="6414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3" w:left="363"/>
      </w:pPr>
      <w:rPr/>
      <w:start w:val="1"/>
      <w:suff w:val="tab"/>
    </w:lvl>
    <w:lvl w:ilvl="1">
      <w:isLgl w:val="false"/>
      <w:lvlJc w:val="left"/>
      <w:lvlText w:val="%2"/>
      <w:numFmt w:val="none"/>
      <w:pPr>
        <w:pBdr/>
        <w:spacing/>
        <w:ind w:firstLine="0" w:left="-357"/>
      </w:pPr>
      <w:rPr/>
      <w:start w:val="1"/>
      <w:suff w:val="tab"/>
    </w:lvl>
    <w:lvl w:ilvl="2">
      <w:isLgl w:val="false"/>
      <w:lvlJc w:val="left"/>
      <w:lvlText w:val="%3"/>
      <w:numFmt w:val="none"/>
      <w:pPr>
        <w:pBdr/>
        <w:spacing/>
        <w:ind w:firstLine="0" w:left="-357"/>
      </w:pPr>
      <w:rPr/>
      <w:start w:val="1"/>
      <w:suff w:val="tab"/>
    </w:lvl>
    <w:lvl w:ilvl="3">
      <w:isLgl w:val="false"/>
      <w:lvlJc w:val="left"/>
      <w:lvlText w:val="%4"/>
      <w:numFmt w:val="none"/>
      <w:pPr>
        <w:pBdr/>
        <w:spacing/>
        <w:ind w:firstLine="0" w:left="-357"/>
      </w:pPr>
      <w:rPr/>
      <w:start w:val="1"/>
      <w:suff w:val="tab"/>
    </w:lvl>
    <w:lvl w:ilvl="4">
      <w:isLgl w:val="false"/>
      <w:lvlJc w:val="left"/>
      <w:lvlText w:val="%5"/>
      <w:numFmt w:val="none"/>
      <w:pPr>
        <w:pBdr/>
        <w:spacing/>
        <w:ind w:firstLine="0" w:left="-357"/>
      </w:pPr>
      <w:rPr/>
      <w:start w:val="1"/>
      <w:suff w:val="tab"/>
    </w:lvl>
    <w:lvl w:ilvl="5">
      <w:isLgl w:val="false"/>
      <w:lvlJc w:val="left"/>
      <w:lvlText w:val="%6"/>
      <w:numFmt w:val="none"/>
      <w:pPr>
        <w:pBdr/>
        <w:spacing/>
        <w:ind w:firstLine="0" w:left="-357"/>
      </w:pPr>
      <w:rPr/>
      <w:start w:val="1"/>
      <w:suff w:val="tab"/>
    </w:lvl>
    <w:lvl w:ilvl="6">
      <w:isLgl w:val="false"/>
      <w:lvlJc w:val="left"/>
      <w:lvlText w:val="%7"/>
      <w:numFmt w:val="none"/>
      <w:pPr>
        <w:pBdr/>
        <w:spacing/>
        <w:ind w:firstLine="0" w:left="-357"/>
      </w:pPr>
      <w:rPr/>
      <w:start w:val="1"/>
      <w:suff w:val="tab"/>
    </w:lvl>
    <w:lvl w:ilvl="7">
      <w:isLgl w:val="false"/>
      <w:lvlJc w:val="left"/>
      <w:lvlText w:val="%8"/>
      <w:numFmt w:val="none"/>
      <w:pPr>
        <w:pBdr/>
        <w:spacing/>
        <w:ind w:firstLine="0" w:left="-357"/>
      </w:pPr>
      <w:rPr/>
      <w:start w:val="1"/>
      <w:suff w:val="tab"/>
    </w:lvl>
    <w:lvl w:ilvl="8">
      <w:isLgl w:val="false"/>
      <w:lvlJc w:val="left"/>
      <w:lvlText w:val="%9"/>
      <w:numFmt w:val="none"/>
      <w:pPr>
        <w:pBdr/>
        <w:spacing/>
        <w:ind w:firstLine="0" w:left="-357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42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6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144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3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4">
    <w:lvl w:ilvl="0">
      <w:isLgl w:val="false"/>
      <w:lvlJc w:val="left"/>
      <w:lvlText w:val="3.%1"/>
      <w:numFmt w:val="decimal"/>
      <w:pPr>
        <w:pBdr/>
        <w:spacing/>
        <w:ind w:hanging="360" w:left="1083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3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"/>
      <w:numFmt w:val="decimal"/>
      <w:pPr>
        <w:pBdr/>
        <w:spacing/>
        <w:ind w:hanging="360" w:left="360"/>
      </w:pPr>
      <w:rPr>
        <w:rFonts w:hint="default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723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446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809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2532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2895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3618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3981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4704"/>
      </w:pPr>
      <w:rPr>
        <w:rFonts w:hint="default"/>
      </w:rPr>
      <w:start w:val="1"/>
      <w:suff w:val="tab"/>
    </w:lvl>
  </w:abstractNum>
  <w:abstractNum w:abstractNumId="17">
    <w:lvl w:ilvl="0">
      <w:isLgl w:val="false"/>
      <w:lvlJc w:val="right"/>
      <w:lvlText w:val="%1."/>
      <w:numFmt w:val="upperRoman"/>
      <w:pPr>
        <w:pBdr/>
        <w:spacing/>
        <w:ind w:hanging="360" w:left="436"/>
      </w:pPr>
      <w:rPr>
        <w:rFonts w:hint="default" w:ascii="Times New Roman" w:hAnsi="Times New Roman" w:cs="Times New Roman"/>
        <w:b/>
        <w:bCs/>
        <w:sz w:val="24"/>
        <w:szCs w:val="24"/>
      </w:rPr>
      <w:start w:val="9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108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3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color w:val="000000" w:themeColor="text1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1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"/>
      <w:numFmt w:val="none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3"/>
      <w:numFmt w:val="none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4"/>
      <w:numFmt w:val="none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5"/>
      <w:numFmt w:val="none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6"/>
      <w:numFmt w:val="none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7"/>
      <w:numFmt w:val="none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8"/>
      <w:numFmt w:val="none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9"/>
      <w:numFmt w:val="none"/>
      <w:pPr>
        <w:pBdr/>
        <w:spacing/>
        <w:ind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3" w:left="723"/>
      </w:pPr>
      <w:rPr/>
      <w:start w:val="1"/>
      <w:suff w:val="tab"/>
    </w:lvl>
    <w:lvl w:ilvl="1">
      <w:isLgl w:val="false"/>
      <w:lvlJc w:val="left"/>
      <w:lvlText w:val="%2"/>
      <w:numFmt w:val="none"/>
      <w:pPr>
        <w:pBdr/>
        <w:spacing/>
        <w:ind/>
      </w:pPr>
      <w:rPr/>
      <w:start w:val="1"/>
      <w:suff w:val="tab"/>
    </w:lvl>
    <w:lvl w:ilvl="2">
      <w:isLgl w:val="false"/>
      <w:lvlJc w:val="left"/>
      <w:lvlText w:val="%3"/>
      <w:numFmt w:val="none"/>
      <w:pPr>
        <w:pBdr/>
        <w:spacing/>
        <w:ind/>
      </w:pPr>
      <w:rPr/>
      <w:start w:val="1"/>
      <w:suff w:val="tab"/>
    </w:lvl>
    <w:lvl w:ilvl="3">
      <w:isLgl w:val="false"/>
      <w:lvlJc w:val="left"/>
      <w:lvlText w:val="%4"/>
      <w:numFmt w:val="none"/>
      <w:pPr>
        <w:pBdr/>
        <w:spacing/>
        <w:ind/>
      </w:pPr>
      <w:rPr/>
      <w:start w:val="1"/>
      <w:suff w:val="tab"/>
    </w:lvl>
    <w:lvl w:ilvl="4">
      <w:isLgl w:val="false"/>
      <w:lvlJc w:val="left"/>
      <w:lvlText w:val="%5"/>
      <w:numFmt w:val="none"/>
      <w:pPr>
        <w:pBdr/>
        <w:spacing/>
        <w:ind/>
      </w:pPr>
      <w:rPr/>
      <w:start w:val="1"/>
      <w:suff w:val="tab"/>
    </w:lvl>
    <w:lvl w:ilvl="5">
      <w:isLgl w:val="false"/>
      <w:lvlJc w:val="left"/>
      <w:lvlText w:val="%6"/>
      <w:numFmt w:val="none"/>
      <w:pPr>
        <w:pBdr/>
        <w:spacing/>
        <w:ind/>
      </w:pPr>
      <w:rPr/>
      <w:start w:val="1"/>
      <w:suff w:val="tab"/>
    </w:lvl>
    <w:lvl w:ilvl="6">
      <w:isLgl w:val="false"/>
      <w:lvlJc w:val="left"/>
      <w:lvlText w:val="%7"/>
      <w:numFmt w:val="none"/>
      <w:pPr>
        <w:pBdr/>
        <w:spacing/>
        <w:ind/>
      </w:pPr>
      <w:rPr/>
      <w:start w:val="1"/>
      <w:suff w:val="tab"/>
    </w:lvl>
    <w:lvl w:ilvl="7">
      <w:isLgl w:val="false"/>
      <w:lvlJc w:val="left"/>
      <w:lvlText w:val="%8"/>
      <w:numFmt w:val="none"/>
      <w:pPr>
        <w:pBdr/>
        <w:spacing/>
        <w:ind/>
      </w:pPr>
      <w:rPr/>
      <w:start w:val="1"/>
      <w:suff w:val="tab"/>
    </w:lvl>
    <w:lvl w:ilvl="8">
      <w:isLgl w:val="false"/>
      <w:lvlJc w:val="left"/>
      <w:lvlText w:val="%9"/>
      <w:numFmt w:val="none"/>
      <w:pPr>
        <w:pBdr/>
        <w:spacing/>
        <w:ind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5">
    <w:lvl w:ilvl="0">
      <w:isLgl w:val="false"/>
      <w:lvlJc w:val="left"/>
      <w:lvlText w:val=""/>
      <w:numFmt w:val="bullet"/>
      <w:pPr>
        <w:pBdr/>
        <w:spacing/>
        <w:ind w:hanging="360" w:left="1068"/>
      </w:pPr>
      <w:rPr>
        <w:rFonts w:ascii="Symbol" w:hAnsi="Symbo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ascii="Courier New" w:hAnsi="Courier New" w:cs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ascii="Wingdings" w:hAnsi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ascii="Symbol" w:hAnsi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ascii="Courier New" w:hAnsi="Courier New" w:cs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ascii="Wingdings" w:hAnsi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ascii="Symbol" w:hAnsi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ascii="Courier New" w:hAnsi="Courier New" w:cs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ascii="Wingdings" w:hAnsi="Wingdings"/>
      </w:rPr>
      <w:start w:val="0"/>
      <w:suff w:val="tab"/>
    </w:lvl>
  </w:abstractNum>
  <w:abstractNum w:abstractNumId="26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)"/>
      <w:numFmt w:val="lowerLetter"/>
      <w:pPr>
        <w:pBdr/>
        <w:spacing/>
        <w:ind w:hanging="360" w:left="108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3"/>
      </w:pPr>
      <w:rPr/>
      <w:start w:val="1"/>
      <w:suff w:val="tab"/>
    </w:lvl>
  </w:abstractNum>
  <w:abstractNum w:abstractNumId="30">
    <w:lvl w:ilvl="0">
      <w:isLgl w:val="false"/>
      <w:lvlJc w:val="left"/>
      <w:lvlText w:val="9%1"/>
      <w:numFmt w:val="ordin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2">
    <w:lvl w:ilvl="0">
      <w:isLgl w:val="false"/>
      <w:lvlJc w:val="left"/>
      <w:lvlText w:val="%1)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3">
    <w:lvl w:ilvl="0">
      <w:isLgl w:val="false"/>
      <w:lvlJc w:val="center"/>
      <w:lvlText w:val="%1."/>
      <w:numFmt w:val="upperRoman"/>
      <w:pPr>
        <w:pBdr/>
        <w:spacing/>
        <w:ind w:hanging="360" w:left="360"/>
      </w:pPr>
      <w:rPr>
        <w:rFonts w:hint="default"/>
        <w:sz w:val="24"/>
        <w:szCs w:val="24"/>
      </w:rPr>
      <w:start w:val="8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35">
    <w:lvl w:ilvl="0">
      <w:isLgl w:val="false"/>
      <w:lvlJc w:val="left"/>
      <w:lvlText w:val="%1)"/>
      <w:numFmt w:val="lowerLetter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num w:numId="1">
    <w:abstractNumId w:val="5"/>
  </w:num>
  <w:num w:numId="2">
    <w:abstractNumId w:val="34"/>
  </w:num>
  <w:num w:numId="3">
    <w:abstractNumId w:val="7"/>
  </w:num>
  <w:num w:numId="4">
    <w:abstractNumId w:val="9"/>
  </w:num>
  <w:num w:numId="5">
    <w:abstractNumId w:val="19"/>
  </w:num>
  <w:num w:numId="6">
    <w:abstractNumId w:val="25"/>
  </w:num>
  <w:num w:numId="7">
    <w:abstractNumId w:val="1"/>
  </w:num>
  <w:num w:numId="8">
    <w:abstractNumId w:val="10"/>
  </w:num>
  <w:num w:numId="9">
    <w:abstractNumId w:val="13"/>
  </w:num>
  <w:num w:numId="10">
    <w:abstractNumId w:val="20"/>
  </w:num>
  <w:num w:numId="11">
    <w:abstractNumId w:val="27"/>
  </w:num>
  <w:num w:numId="12">
    <w:abstractNumId w:val="33"/>
  </w:num>
  <w:num w:numId="13">
    <w:abstractNumId w:val="17"/>
  </w:num>
  <w:num w:numId="14">
    <w:abstractNumId w:val="21"/>
  </w:num>
  <w:num w:numId="15">
    <w:abstractNumId w:val="6"/>
  </w:num>
  <w:num w:numId="16">
    <w:abstractNumId w:val="32"/>
  </w:num>
  <w:num w:numId="17">
    <w:abstractNumId w:val="26"/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35"/>
  </w:num>
  <w:num w:numId="21">
    <w:abstractNumId w:val="35"/>
    <w:lvlOverride w:ilvl="0">
      <w:startOverride w:val="1"/>
    </w:lvlOverride>
  </w:num>
  <w:num w:numId="22">
    <w:abstractNumId w:val="23"/>
  </w:num>
  <w:num w:numId="23">
    <w:abstractNumId w:val="23"/>
    <w:lvlOverride w:ilvl="0">
      <w:startOverride w:val="1"/>
    </w:lvlOverride>
  </w:num>
  <w:num w:numId="24">
    <w:abstractNumId w:val="11"/>
  </w:num>
  <w:num w:numId="25">
    <w:abstractNumId w:val="11"/>
    <w:lvlOverride w:ilvl="0">
      <w:startOverride w:val="1"/>
    </w:lvlOverride>
  </w:num>
  <w:num w:numId="26">
    <w:abstractNumId w:val="29"/>
  </w:num>
  <w:num w:numId="27">
    <w:abstractNumId w:val="29"/>
    <w:lvlOverride w:ilvl="0">
      <w:startOverride w:val="1"/>
    </w:lvlOverride>
  </w:num>
  <w:num w:numId="28">
    <w:abstractNumId w:val="12"/>
  </w:num>
  <w:num w:numId="29">
    <w:abstractNumId w:val="12"/>
    <w:lvlOverride w:ilvl="0">
      <w:startOverride w:val="1"/>
    </w:lvlOverride>
  </w:num>
  <w:num w:numId="30">
    <w:abstractNumId w:val="4"/>
  </w:num>
  <w:num w:numId="31">
    <w:abstractNumId w:val="4"/>
    <w:lvlOverride w:ilvl="0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</w:num>
  <w:num w:numId="34">
    <w:abstractNumId w:val="28"/>
  </w:num>
  <w:num w:numId="35">
    <w:abstractNumId w:val="30"/>
  </w:num>
  <w:num w:numId="36">
    <w:abstractNumId w:val="15"/>
  </w:num>
  <w:num w:numId="37">
    <w:abstractNumId w:val="18"/>
  </w:num>
  <w:num w:numId="38">
    <w:abstractNumId w:val="0"/>
  </w:num>
  <w:num w:numId="39">
    <w:abstractNumId w:val="14"/>
  </w:num>
  <w:num w:numId="40">
    <w:abstractNumId w:val="3"/>
  </w:num>
  <w:num w:numId="41">
    <w:abstractNumId w:val="31"/>
  </w:num>
  <w:num w:numId="42">
    <w:abstractNumId w:val="24"/>
  </w:num>
  <w:num w:numId="43">
    <w:abstractNumId w:val="1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13">
    <w:name w:val="Table Grid"/>
    <w:basedOn w:val="9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Table Grid Light"/>
    <w:basedOn w:val="9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1"/>
    <w:basedOn w:val="9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2"/>
    <w:basedOn w:val="9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Plain Table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"/>
    <w:basedOn w:val="9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- Accent 1"/>
    <w:basedOn w:val="9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- Accent 2"/>
    <w:basedOn w:val="9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- Accent 3"/>
    <w:basedOn w:val="9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- Accent 4"/>
    <w:basedOn w:val="9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 - Accent 5"/>
    <w:basedOn w:val="9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6"/>
    <w:basedOn w:val="9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5 Dark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ned - Accent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ned - Accent 1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ned - Accent 2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ned - Accent 3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ned - Accent 4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 5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6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&amp; Lined - Accent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Bordered &amp; Lined - Accent 1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Bordered &amp; Lined - Accent 2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Bordered &amp; Lined - Accent 3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Bordered &amp; Lined - Accent 4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 5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6"/>
    <w:basedOn w:val="9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- Accent 1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- Accent 2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- Accent 3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- Accent 4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- Accent 5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6"/>
    <w:basedOn w:val="9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9">
    <w:name w:val="Heading 1"/>
    <w:basedOn w:val="994"/>
    <w:next w:val="994"/>
    <w:link w:val="94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40">
    <w:name w:val="Heading 2"/>
    <w:basedOn w:val="994"/>
    <w:next w:val="994"/>
    <w:link w:val="94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41">
    <w:name w:val="Heading 3"/>
    <w:basedOn w:val="994"/>
    <w:next w:val="994"/>
    <w:link w:val="95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42">
    <w:name w:val="Heading 4"/>
    <w:basedOn w:val="994"/>
    <w:next w:val="994"/>
    <w:link w:val="95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43">
    <w:name w:val="Heading 5"/>
    <w:basedOn w:val="994"/>
    <w:next w:val="994"/>
    <w:link w:val="95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44">
    <w:name w:val="Heading 6"/>
    <w:basedOn w:val="994"/>
    <w:next w:val="994"/>
    <w:link w:val="95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45">
    <w:name w:val="Heading 7"/>
    <w:basedOn w:val="994"/>
    <w:next w:val="994"/>
    <w:link w:val="95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46">
    <w:name w:val="Heading 8"/>
    <w:basedOn w:val="994"/>
    <w:next w:val="994"/>
    <w:link w:val="95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47">
    <w:name w:val="Heading 9"/>
    <w:basedOn w:val="994"/>
    <w:next w:val="994"/>
    <w:link w:val="95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48">
    <w:name w:val="Heading 1 Char"/>
    <w:basedOn w:val="995"/>
    <w:link w:val="9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49">
    <w:name w:val="Heading 2 Char"/>
    <w:basedOn w:val="995"/>
    <w:link w:val="9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50">
    <w:name w:val="Heading 3 Char"/>
    <w:basedOn w:val="995"/>
    <w:link w:val="9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51">
    <w:name w:val="Heading 4 Char"/>
    <w:basedOn w:val="995"/>
    <w:link w:val="94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52">
    <w:name w:val="Heading 5 Char"/>
    <w:basedOn w:val="995"/>
    <w:link w:val="9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53">
    <w:name w:val="Heading 6 Char"/>
    <w:basedOn w:val="995"/>
    <w:link w:val="94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54">
    <w:name w:val="Heading 7 Char"/>
    <w:basedOn w:val="995"/>
    <w:link w:val="94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55">
    <w:name w:val="Heading 8 Char"/>
    <w:basedOn w:val="995"/>
    <w:link w:val="9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56">
    <w:name w:val="Heading 9 Char"/>
    <w:basedOn w:val="995"/>
    <w:link w:val="9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57">
    <w:name w:val="Title"/>
    <w:basedOn w:val="994"/>
    <w:next w:val="994"/>
    <w:link w:val="95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58">
    <w:name w:val="Title Char"/>
    <w:basedOn w:val="995"/>
    <w:link w:val="95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59">
    <w:name w:val="Subtitle"/>
    <w:basedOn w:val="994"/>
    <w:next w:val="994"/>
    <w:link w:val="96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60">
    <w:name w:val="Subtitle Char"/>
    <w:basedOn w:val="995"/>
    <w:link w:val="95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61">
    <w:name w:val="Quote"/>
    <w:basedOn w:val="994"/>
    <w:next w:val="994"/>
    <w:link w:val="96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62">
    <w:name w:val="Quote Char"/>
    <w:basedOn w:val="995"/>
    <w:link w:val="96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63">
    <w:name w:val="Intense Emphasis"/>
    <w:basedOn w:val="99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64">
    <w:name w:val="Intense Quote"/>
    <w:basedOn w:val="994"/>
    <w:next w:val="994"/>
    <w:link w:val="9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65">
    <w:name w:val="Intense Quote Char"/>
    <w:basedOn w:val="995"/>
    <w:link w:val="9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66">
    <w:name w:val="Intense Reference"/>
    <w:basedOn w:val="99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67">
    <w:name w:val="No Spacing"/>
    <w:basedOn w:val="994"/>
    <w:uiPriority w:val="1"/>
    <w:qFormat/>
    <w:pPr>
      <w:pBdr/>
      <w:spacing w:after="0" w:line="240" w:lineRule="auto"/>
      <w:ind/>
    </w:pPr>
  </w:style>
  <w:style w:type="character" w:styleId="968">
    <w:name w:val="Subtle Emphasis"/>
    <w:basedOn w:val="9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69">
    <w:name w:val="Emphasis"/>
    <w:basedOn w:val="995"/>
    <w:uiPriority w:val="20"/>
    <w:qFormat/>
    <w:pPr>
      <w:pBdr/>
      <w:spacing/>
      <w:ind/>
    </w:pPr>
    <w:rPr>
      <w:i/>
      <w:iCs/>
    </w:rPr>
  </w:style>
  <w:style w:type="character" w:styleId="970">
    <w:name w:val="Strong"/>
    <w:basedOn w:val="995"/>
    <w:uiPriority w:val="22"/>
    <w:qFormat/>
    <w:pPr>
      <w:pBdr/>
      <w:spacing/>
      <w:ind/>
    </w:pPr>
    <w:rPr>
      <w:b/>
      <w:bCs/>
    </w:rPr>
  </w:style>
  <w:style w:type="character" w:styleId="971">
    <w:name w:val="Subtle Reference"/>
    <w:basedOn w:val="9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72">
    <w:name w:val="Book Title"/>
    <w:basedOn w:val="9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73">
    <w:name w:val="Header Char"/>
    <w:basedOn w:val="995"/>
    <w:link w:val="1004"/>
    <w:uiPriority w:val="99"/>
    <w:pPr>
      <w:pBdr/>
      <w:spacing/>
      <w:ind/>
    </w:pPr>
  </w:style>
  <w:style w:type="character" w:styleId="974">
    <w:name w:val="Footer Char"/>
    <w:basedOn w:val="995"/>
    <w:link w:val="1006"/>
    <w:uiPriority w:val="99"/>
    <w:pPr>
      <w:pBdr/>
      <w:spacing/>
      <w:ind/>
    </w:pPr>
  </w:style>
  <w:style w:type="paragraph" w:styleId="975">
    <w:name w:val="Caption"/>
    <w:basedOn w:val="994"/>
    <w:next w:val="99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76">
    <w:name w:val="footnote text"/>
    <w:basedOn w:val="994"/>
    <w:link w:val="9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7">
    <w:name w:val="Footnote Text Char"/>
    <w:basedOn w:val="995"/>
    <w:link w:val="976"/>
    <w:uiPriority w:val="99"/>
    <w:semiHidden/>
    <w:pPr>
      <w:pBdr/>
      <w:spacing/>
      <w:ind/>
    </w:pPr>
    <w:rPr>
      <w:sz w:val="20"/>
      <w:szCs w:val="20"/>
    </w:rPr>
  </w:style>
  <w:style w:type="character" w:styleId="978">
    <w:name w:val="footnote reference"/>
    <w:basedOn w:val="995"/>
    <w:uiPriority w:val="99"/>
    <w:semiHidden/>
    <w:unhideWhenUsed/>
    <w:pPr>
      <w:pBdr/>
      <w:spacing/>
      <w:ind/>
    </w:pPr>
    <w:rPr>
      <w:vertAlign w:val="superscript"/>
    </w:rPr>
  </w:style>
  <w:style w:type="paragraph" w:styleId="979">
    <w:name w:val="endnote text"/>
    <w:basedOn w:val="994"/>
    <w:link w:val="9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80">
    <w:name w:val="Endnote Text Char"/>
    <w:basedOn w:val="995"/>
    <w:link w:val="979"/>
    <w:uiPriority w:val="99"/>
    <w:semiHidden/>
    <w:pPr>
      <w:pBdr/>
      <w:spacing/>
      <w:ind/>
    </w:pPr>
    <w:rPr>
      <w:sz w:val="20"/>
      <w:szCs w:val="20"/>
    </w:rPr>
  </w:style>
  <w:style w:type="character" w:styleId="981">
    <w:name w:val="endnote reference"/>
    <w:basedOn w:val="995"/>
    <w:uiPriority w:val="99"/>
    <w:semiHidden/>
    <w:unhideWhenUsed/>
    <w:pPr>
      <w:pBdr/>
      <w:spacing/>
      <w:ind/>
    </w:pPr>
    <w:rPr>
      <w:vertAlign w:val="superscript"/>
    </w:rPr>
  </w:style>
  <w:style w:type="character" w:styleId="982">
    <w:name w:val="FollowedHyperlink"/>
    <w:basedOn w:val="9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83">
    <w:name w:val="toc 1"/>
    <w:basedOn w:val="994"/>
    <w:next w:val="994"/>
    <w:uiPriority w:val="39"/>
    <w:unhideWhenUsed/>
    <w:pPr>
      <w:pBdr/>
      <w:spacing w:after="100"/>
      <w:ind/>
    </w:pPr>
  </w:style>
  <w:style w:type="paragraph" w:styleId="984">
    <w:name w:val="toc 2"/>
    <w:basedOn w:val="994"/>
    <w:next w:val="994"/>
    <w:uiPriority w:val="39"/>
    <w:unhideWhenUsed/>
    <w:pPr>
      <w:pBdr/>
      <w:spacing w:after="100"/>
      <w:ind w:left="220"/>
    </w:pPr>
  </w:style>
  <w:style w:type="paragraph" w:styleId="985">
    <w:name w:val="toc 3"/>
    <w:basedOn w:val="994"/>
    <w:next w:val="994"/>
    <w:uiPriority w:val="39"/>
    <w:unhideWhenUsed/>
    <w:pPr>
      <w:pBdr/>
      <w:spacing w:after="100"/>
      <w:ind w:left="440"/>
    </w:pPr>
  </w:style>
  <w:style w:type="paragraph" w:styleId="986">
    <w:name w:val="toc 4"/>
    <w:basedOn w:val="994"/>
    <w:next w:val="994"/>
    <w:uiPriority w:val="39"/>
    <w:unhideWhenUsed/>
    <w:pPr>
      <w:pBdr/>
      <w:spacing w:after="100"/>
      <w:ind w:left="660"/>
    </w:pPr>
  </w:style>
  <w:style w:type="paragraph" w:styleId="987">
    <w:name w:val="toc 5"/>
    <w:basedOn w:val="994"/>
    <w:next w:val="994"/>
    <w:uiPriority w:val="39"/>
    <w:unhideWhenUsed/>
    <w:pPr>
      <w:pBdr/>
      <w:spacing w:after="100"/>
      <w:ind w:left="880"/>
    </w:pPr>
  </w:style>
  <w:style w:type="paragraph" w:styleId="988">
    <w:name w:val="toc 6"/>
    <w:basedOn w:val="994"/>
    <w:next w:val="994"/>
    <w:uiPriority w:val="39"/>
    <w:unhideWhenUsed/>
    <w:pPr>
      <w:pBdr/>
      <w:spacing w:after="100"/>
      <w:ind w:left="1100"/>
    </w:pPr>
  </w:style>
  <w:style w:type="paragraph" w:styleId="989">
    <w:name w:val="toc 7"/>
    <w:basedOn w:val="994"/>
    <w:next w:val="994"/>
    <w:uiPriority w:val="39"/>
    <w:unhideWhenUsed/>
    <w:pPr>
      <w:pBdr/>
      <w:spacing w:after="100"/>
      <w:ind w:left="1320"/>
    </w:pPr>
  </w:style>
  <w:style w:type="paragraph" w:styleId="990">
    <w:name w:val="toc 8"/>
    <w:basedOn w:val="994"/>
    <w:next w:val="994"/>
    <w:uiPriority w:val="39"/>
    <w:unhideWhenUsed/>
    <w:pPr>
      <w:pBdr/>
      <w:spacing w:after="100"/>
      <w:ind w:left="1540"/>
    </w:pPr>
  </w:style>
  <w:style w:type="paragraph" w:styleId="991">
    <w:name w:val="toc 9"/>
    <w:basedOn w:val="994"/>
    <w:next w:val="994"/>
    <w:uiPriority w:val="39"/>
    <w:unhideWhenUsed/>
    <w:pPr>
      <w:pBdr/>
      <w:spacing w:after="100"/>
      <w:ind w:left="1760"/>
    </w:pPr>
  </w:style>
  <w:style w:type="paragraph" w:styleId="992">
    <w:name w:val="TOC Heading"/>
    <w:uiPriority w:val="39"/>
    <w:unhideWhenUsed/>
    <w:pPr>
      <w:pBdr/>
      <w:spacing/>
      <w:ind/>
    </w:pPr>
  </w:style>
  <w:style w:type="paragraph" w:styleId="993">
    <w:name w:val="table of figures"/>
    <w:basedOn w:val="994"/>
    <w:next w:val="994"/>
    <w:uiPriority w:val="99"/>
    <w:unhideWhenUsed/>
    <w:pPr>
      <w:pBdr/>
      <w:spacing w:after="0" w:afterAutospacing="0"/>
      <w:ind/>
    </w:pPr>
  </w:style>
  <w:style w:type="paragraph" w:styleId="994" w:default="1">
    <w:name w:val="Normal"/>
    <w:qFormat/>
    <w:pPr>
      <w:pBdr/>
      <w:spacing w:line="240" w:lineRule="auto"/>
      <w:ind/>
    </w:pPr>
    <w:rPr>
      <w:rFonts w:ascii="Calibri" w:hAnsi="Calibri" w:eastAsia="Calibri" w:cs="Times New Roman"/>
      <w14:ligatures w14:val="none"/>
    </w:rPr>
  </w:style>
  <w:style w:type="character" w:styleId="995" w:default="1">
    <w:name w:val="Default Paragraph Font"/>
    <w:uiPriority w:val="1"/>
    <w:semiHidden/>
    <w:unhideWhenUsed/>
    <w:pPr>
      <w:pBdr/>
      <w:spacing/>
      <w:ind/>
    </w:pPr>
  </w:style>
  <w:style w:type="table" w:styleId="9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97" w:default="1">
    <w:name w:val="No List"/>
    <w:uiPriority w:val="99"/>
    <w:semiHidden/>
    <w:unhideWhenUsed/>
    <w:pPr>
      <w:pBdr/>
      <w:spacing/>
      <w:ind/>
    </w:pPr>
  </w:style>
  <w:style w:type="character" w:styleId="998" w:customStyle="1">
    <w:name w:val="Domyślna czcionka akapitu1"/>
    <w:pPr>
      <w:pBdr/>
      <w:spacing/>
      <w:ind/>
    </w:pPr>
  </w:style>
  <w:style w:type="paragraph" w:styleId="999">
    <w:name w:val="List Paragraph"/>
    <w:basedOn w:val="994"/>
    <w:pPr>
      <w:pBdr/>
      <w:spacing/>
      <w:ind w:left="720"/>
    </w:pPr>
  </w:style>
  <w:style w:type="paragraph" w:styleId="1000">
    <w:name w:val="Normal (Web)"/>
    <w:basedOn w:val="994"/>
    <w:pPr>
      <w:pBdr/>
      <w:spacing w:after="150"/>
      <w:ind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1001">
    <w:name w:val="Body Text"/>
    <w:basedOn w:val="994"/>
    <w:link w:val="1002"/>
    <w:pPr>
      <w:pBdr/>
      <w:spacing w:after="140" w:line="276" w:lineRule="auto"/>
      <w:ind/>
    </w:pPr>
  </w:style>
  <w:style w:type="character" w:styleId="1002" w:customStyle="1">
    <w:name w:val="Tekst podstawowy Znak"/>
    <w:basedOn w:val="995"/>
    <w:link w:val="1001"/>
    <w:pPr>
      <w:pBdr/>
      <w:spacing/>
      <w:ind/>
    </w:pPr>
    <w:rPr>
      <w:rFonts w:ascii="Calibri" w:hAnsi="Calibri" w:eastAsia="Calibri" w:cs="Times New Roman"/>
      <w14:ligatures w14:val="none"/>
    </w:rPr>
  </w:style>
  <w:style w:type="character" w:styleId="1003">
    <w:name w:val="Hyperlink"/>
    <w:basedOn w:val="995"/>
    <w:pPr>
      <w:pBdr/>
      <w:spacing/>
      <w:ind/>
    </w:pPr>
    <w:rPr>
      <w:color w:val="0563c1"/>
      <w:u w:val="single"/>
    </w:rPr>
  </w:style>
  <w:style w:type="paragraph" w:styleId="1004">
    <w:name w:val="Header"/>
    <w:basedOn w:val="994"/>
    <w:link w:val="1005"/>
    <w:unhideWhenUsed/>
    <w:pPr>
      <w:pBdr/>
      <w:tabs>
        <w:tab w:val="center" w:leader="none" w:pos="4536"/>
        <w:tab w:val="right" w:leader="none" w:pos="9072"/>
      </w:tabs>
      <w:spacing w:after="0"/>
      <w:ind/>
    </w:pPr>
  </w:style>
  <w:style w:type="character" w:styleId="1005" w:customStyle="1">
    <w:name w:val="Nagłówek Znak"/>
    <w:basedOn w:val="995"/>
    <w:link w:val="1004"/>
    <w:uiPriority w:val="99"/>
    <w:pPr>
      <w:pBdr/>
      <w:spacing/>
      <w:ind/>
    </w:pPr>
    <w:rPr>
      <w:rFonts w:ascii="Calibri" w:hAnsi="Calibri" w:eastAsia="Calibri" w:cs="Times New Roman"/>
      <w14:ligatures w14:val="none"/>
    </w:rPr>
  </w:style>
  <w:style w:type="paragraph" w:styleId="1006">
    <w:name w:val="Footer"/>
    <w:basedOn w:val="994"/>
    <w:link w:val="1007"/>
    <w:uiPriority w:val="99"/>
    <w:unhideWhenUsed/>
    <w:pPr>
      <w:pBdr/>
      <w:tabs>
        <w:tab w:val="center" w:leader="none" w:pos="4536"/>
        <w:tab w:val="right" w:leader="none" w:pos="9072"/>
      </w:tabs>
      <w:spacing w:after="0"/>
      <w:ind/>
    </w:pPr>
  </w:style>
  <w:style w:type="character" w:styleId="1007" w:customStyle="1">
    <w:name w:val="Stopka Znak"/>
    <w:basedOn w:val="995"/>
    <w:link w:val="1006"/>
    <w:uiPriority w:val="99"/>
    <w:pPr>
      <w:pBdr/>
      <w:spacing/>
      <w:ind/>
    </w:pPr>
    <w:rPr>
      <w:rFonts w:ascii="Calibri" w:hAnsi="Calibri" w:eastAsia="Calibri" w:cs="Times New Roma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poczta@malkiniagorna.p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Liszewska</dc:creator>
  <cp:keywords/>
  <dc:description/>
  <cp:revision>16</cp:revision>
  <dcterms:created xsi:type="dcterms:W3CDTF">2024-12-04T09:50:00Z</dcterms:created>
  <dcterms:modified xsi:type="dcterms:W3CDTF">2024-12-12T12:42:13Z</dcterms:modified>
</cp:coreProperties>
</file>